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A40C29">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A40C29">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A40C29">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A40C29">
      <w:pPr>
        <w:pStyle w:val="ListParagraph"/>
        <w:numPr>
          <w:ilvl w:val="0"/>
          <w:numId w:val="2"/>
        </w:numPr>
      </w:pPr>
      <w:r w:rsidRPr="00F276B3">
        <w:t>Insert answers into the blank, white cells provided.</w:t>
      </w:r>
    </w:p>
    <w:p w14:paraId="4AB13ACC" w14:textId="37246AC2" w:rsidR="00E63AC5" w:rsidRDefault="00E63AC5" w:rsidP="00A40C29">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A40C29">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A40C29">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A40C29">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169329F" w:rsidR="00093CA9" w:rsidRDefault="00835BAA" w:rsidP="00093CA9">
            <w:r w:rsidRPr="00835BAA">
              <w:t>Directive 2014/24/EU on Public Procurement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4A5E43B" w:rsidR="00093CA9" w:rsidRDefault="00000000" w:rsidP="00093CA9">
            <w:hyperlink r:id="rId17" w:history="1">
              <w:r w:rsidR="00F8077E" w:rsidRPr="00F8077E">
                <w:rPr>
                  <w:rStyle w:val="Hyperlink"/>
                </w:rPr>
                <w:t>Directive - 2014/24 - EN - EUR-Lex</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3C53411" w:rsidR="00093CA9" w:rsidRDefault="00835BAA"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6B62E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5839283" w:rsidR="00093CA9" w:rsidRDefault="00691D16" w:rsidP="00093CA9">
            <w:r w:rsidRPr="00691D16">
              <w:t>This policy tool</w:t>
            </w:r>
            <w:r>
              <w:t xml:space="preserve"> </w:t>
            </w:r>
            <w:r w:rsidRPr="00691D16">
              <w:t xml:space="preserve">concerns the coordination of </w:t>
            </w:r>
            <w:r w:rsidR="00F67D21">
              <w:t>national</w:t>
            </w:r>
            <w:r w:rsidRPr="00691D16">
              <w:t xml:space="preserve"> procurement procedures for public contracts</w:t>
            </w:r>
            <w:r w:rsidR="00B8033B">
              <w:t xml:space="preserve"> within the E</w:t>
            </w:r>
            <w:r w:rsidR="00C74E32">
              <w:t>uropean Union</w:t>
            </w:r>
            <w:r w:rsidRPr="00691D16">
              <w:t xml:space="preserve"> to ensure fair competition, transparency,</w:t>
            </w:r>
            <w:r w:rsidR="00C74E32">
              <w:t xml:space="preserve"> equal treatment</w:t>
            </w:r>
            <w:r w:rsidRPr="00691D16">
              <w:t xml:space="preserve"> and efficient use of public resources, with the aim of promoting smart, sustainable, and inclusive growth and facilitating the participation of SMEs.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07F2A67" w:rsidR="00093CA9" w:rsidRDefault="009406F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E82C873" w:rsidR="00093CA9" w:rsidRPr="00173D7C" w:rsidRDefault="00690206"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A6440FC" w:rsidR="00093CA9" w:rsidRPr="00173D7C" w:rsidRDefault="00BE5C20" w:rsidP="00093CA9">
            <w:pPr>
              <w:rPr>
                <w:color w:val="000000" w:themeColor="text1"/>
              </w:rPr>
            </w:pPr>
            <w:r>
              <w:rPr>
                <w:color w:val="000000" w:themeColor="text1"/>
              </w:rPr>
              <w:t>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8B01F1"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0D95CB8" w:rsidR="00093CA9" w:rsidRPr="008B01F1" w:rsidRDefault="008B01F1" w:rsidP="00093CA9">
            <w:pPr>
              <w:rPr>
                <w:color w:val="000000" w:themeColor="text1"/>
              </w:rPr>
            </w:pPr>
            <w:r w:rsidRPr="008B01F1">
              <w:rPr>
                <w:color w:val="000000" w:themeColor="text1"/>
              </w:rPr>
              <w:t>Member States shall bring into force the necessary legal and administrative provisions to comply with this directive by no later than 18 April 2016.</w:t>
            </w:r>
            <w:r>
              <w:rPr>
                <w:color w:val="000000" w:themeColor="text1"/>
              </w:rPr>
              <w:t xml:space="preserve"> </w:t>
            </w:r>
            <w:r w:rsidRPr="008B01F1">
              <w:rPr>
                <w:color w:val="000000" w:themeColor="text1"/>
              </w:rPr>
              <w:t>Member States may postpone the application of Article 22, paragraph 1, until 18 October 2018, except where the use of electronic means is mandatory pursuant to Article 34, Article 35, Article 36, Article 37, paragraph 3, Article 51, paragraph 2, or Article 53.</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4F9C2E" w:rsidR="00093CA9" w:rsidRDefault="00C003DC" w:rsidP="00093CA9">
            <w:r w:rsidRPr="00C003DC">
              <w:t>The European Parliament</w:t>
            </w:r>
            <w:r>
              <w:t xml:space="preserve"> and </w:t>
            </w:r>
            <w:r w:rsidR="00F36107">
              <w:t xml:space="preserve">the </w:t>
            </w:r>
            <w:r w:rsidR="00F36107" w:rsidRPr="00F36107">
              <w:t>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D07868A" w:rsidR="00093CA9" w:rsidRPr="006B7B0D" w:rsidRDefault="00175EB0" w:rsidP="00093CA9">
            <w:r>
              <w:t xml:space="preserve">The </w:t>
            </w:r>
            <w:r w:rsidRPr="00175EB0">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8776782" w:rsidR="00093CA9" w:rsidRPr="006B7B0D" w:rsidRDefault="008C0DA2"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7CADAD1"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A035F13" w14:textId="77777777" w:rsidR="00E10A3F" w:rsidRPr="00E10A3F" w:rsidRDefault="00E10A3F" w:rsidP="00E10A3F">
            <w:r w:rsidRPr="00E10A3F">
              <w:t>The main supranational authority responsible for overseeing and enforcing Directive 2014/24/EU is the European Commission. The Commission has various tasks and powers in this regard:</w:t>
            </w:r>
          </w:p>
          <w:p w14:paraId="4A0C362A" w14:textId="77777777" w:rsidR="000A6B83" w:rsidRDefault="00E10A3F" w:rsidP="00E10A3F">
            <w:pPr>
              <w:pStyle w:val="ListParagraph"/>
              <w:numPr>
                <w:ilvl w:val="0"/>
                <w:numId w:val="31"/>
              </w:numPr>
            </w:pPr>
            <w:r w:rsidRPr="00E10A3F">
              <w:t>The Commission receives monitoring reports from Member States on the application of public procurement rules, including information on the most common issues, SME participation, and cases of procurement fraud, corruption, conflicts of interest, and other serious irregularities. These reports must be submitted from 18 April 2017 and every three years thereafter.</w:t>
            </w:r>
          </w:p>
          <w:p w14:paraId="28897D62" w14:textId="77777777" w:rsidR="000A6B83" w:rsidRDefault="00E10A3F" w:rsidP="00E10A3F">
            <w:pPr>
              <w:pStyle w:val="ListParagraph"/>
              <w:numPr>
                <w:ilvl w:val="0"/>
                <w:numId w:val="31"/>
              </w:numPr>
            </w:pPr>
            <w:r w:rsidRPr="00E10A3F">
              <w:t>The Commission itself regularly prepares reports on the implementation and best practices of national procurement policies in the internal market, based on the data received.</w:t>
            </w:r>
          </w:p>
          <w:p w14:paraId="3D1B72CE" w14:textId="77777777" w:rsidR="000A6B83" w:rsidRDefault="00D90841" w:rsidP="00E10A3F">
            <w:pPr>
              <w:pStyle w:val="ListParagraph"/>
              <w:numPr>
                <w:ilvl w:val="0"/>
                <w:numId w:val="31"/>
              </w:numPr>
            </w:pPr>
            <w:r>
              <w:t xml:space="preserve">The Commission </w:t>
            </w:r>
            <w:r w:rsidR="005E3E00">
              <w:t>revises the thresholds for the rules applicable to various kinds of public contracts every 2 years.</w:t>
            </w:r>
          </w:p>
          <w:p w14:paraId="0CBC3DBE" w14:textId="77777777" w:rsidR="000A6B83" w:rsidRDefault="000A6B83" w:rsidP="00E10A3F">
            <w:pPr>
              <w:pStyle w:val="ListParagraph"/>
              <w:numPr>
                <w:ilvl w:val="0"/>
                <w:numId w:val="31"/>
              </w:numPr>
            </w:pPr>
            <w:r>
              <w:t>T</w:t>
            </w:r>
            <w:r w:rsidR="00E10A3F" w:rsidRPr="00E10A3F">
              <w:t>he Commission manages the electronic systems for the publication of notices (such as prior information notices, contract notices, and award notices) and is responsible for improving them to facilitate data entry and generate global reports.</w:t>
            </w:r>
          </w:p>
          <w:p w14:paraId="61E26092" w14:textId="77777777" w:rsidR="000A6B83" w:rsidRDefault="00E10A3F" w:rsidP="00E10A3F">
            <w:pPr>
              <w:pStyle w:val="ListParagraph"/>
              <w:numPr>
                <w:ilvl w:val="0"/>
                <w:numId w:val="31"/>
              </w:numPr>
            </w:pPr>
            <w:r w:rsidRPr="00E10A3F">
              <w:t>The Commission has the authority to adopt delegated acts to adjust technical details and characteristics, revise threshold values, update lists in annexes (such as those of central government authorities), adapt CPV codes, and establish binding technical standards for electronic communication. This authority is unlimited in time and can be revoked by the European Parliament or the Council.</w:t>
            </w:r>
          </w:p>
          <w:p w14:paraId="5A2A7A71" w14:textId="77777777" w:rsidR="000A6B83" w:rsidRDefault="00E10A3F" w:rsidP="00E10A3F">
            <w:pPr>
              <w:pStyle w:val="ListParagraph"/>
              <w:numPr>
                <w:ilvl w:val="0"/>
                <w:numId w:val="31"/>
              </w:numPr>
            </w:pPr>
            <w:r w:rsidRPr="00E10A3F">
              <w:t>The Commission is responsible for assessing the economic impact of the application of threshold values on the internal market and must report to the European Parliament and the Council by 18 April 2019. It also monitors global trade conditions and assesses the Union's competitiveness.</w:t>
            </w:r>
          </w:p>
          <w:p w14:paraId="620246D6" w14:textId="0906850A" w:rsidR="00E10A3F" w:rsidRPr="0090597B" w:rsidRDefault="00E10A3F" w:rsidP="00E10A3F">
            <w:pPr>
              <w:pStyle w:val="ListParagraph"/>
              <w:numPr>
                <w:ilvl w:val="0"/>
                <w:numId w:val="31"/>
              </w:numPr>
            </w:pPr>
            <w:r w:rsidRPr="00E10A3F">
              <w:t>The Commission is empowered to adopt implementing acts for the standard forms for the publication of notices and for the European Single Procurement Document (ESPD).</w:t>
            </w:r>
          </w:p>
          <w:p w14:paraId="42D06D03" w14:textId="102796F7" w:rsidR="00093CA9" w:rsidRPr="00E10A3F" w:rsidRDefault="000A6B83" w:rsidP="008A34D5">
            <w:r>
              <w:t>T</w:t>
            </w:r>
            <w:r w:rsidR="00E10A3F" w:rsidRPr="00E10A3F">
              <w:t>he European Parliament and the Council are the main recipients of the Commission's reports and play a role in the legislative process and oversight of the Commission's delegated powers.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4534B2E" w:rsidR="00093CA9" w:rsidRDefault="00C2199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5380E5F" w:rsidR="00093CA9" w:rsidRPr="001F429F" w:rsidRDefault="008E7785" w:rsidP="001F429F">
            <w:r w:rsidRPr="007B0F83">
              <w:t>The Commission receives monitoring reports from Member States on the application of public procurement rules, including information on the most common issues, SME participation, and cases of procurement fraud, corruption, conflicts of interest, and other serious irregularities. These reports must be submitted from 18 April 2017 and every three years thereafter</w:t>
            </w:r>
            <w:r w:rsidR="00982ED9">
              <w:t xml:space="preserve"> (Article 83(3)).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5F516881">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5F516881">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5F516881">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5F516881">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3DCACE4B" w:rsidR="00D4323A" w:rsidRPr="00610F28" w:rsidRDefault="00D4323A" w:rsidP="00610F28">
            <w:pPr>
              <w:rPr>
                <w:rFonts w:ascii="Calibri" w:hAnsi="Calibri" w:cs="Calibri"/>
              </w:rPr>
            </w:pPr>
          </w:p>
        </w:tc>
        <w:tc>
          <w:tcPr>
            <w:tcW w:w="1740" w:type="dxa"/>
            <w:vAlign w:val="center"/>
          </w:tcPr>
          <w:p w14:paraId="61AE2F42" w14:textId="097E3A19" w:rsidR="00D4323A" w:rsidRPr="00610F28" w:rsidRDefault="00D4323A" w:rsidP="00610F28">
            <w:pPr>
              <w:rPr>
                <w:rFonts w:ascii="Calibri" w:hAnsi="Calibri" w:cs="Calibri"/>
              </w:rPr>
            </w:pPr>
          </w:p>
        </w:tc>
        <w:tc>
          <w:tcPr>
            <w:tcW w:w="1740" w:type="dxa"/>
            <w:vAlign w:val="center"/>
          </w:tcPr>
          <w:p w14:paraId="7257E4AC" w14:textId="4721D8F9" w:rsidR="00D4323A" w:rsidRPr="00610F28" w:rsidRDefault="00D87124" w:rsidP="00610F28">
            <w:pPr>
              <w:rPr>
                <w:rFonts w:ascii="Calibri" w:hAnsi="Calibri" w:cs="Calibri"/>
              </w:rPr>
            </w:pPr>
            <w:r>
              <w:rPr>
                <w:rFonts w:ascii="Calibri" w:hAnsi="Calibri" w:cs="Calibri"/>
              </w:rPr>
              <w:t>X</w:t>
            </w:r>
          </w:p>
        </w:tc>
      </w:tr>
      <w:tr w:rsidR="00241257" w:rsidRPr="00610F28" w14:paraId="03313D98" w14:textId="77777777" w:rsidTr="5F516881">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2858DF9A" w:rsidR="00D4323A" w:rsidRPr="00610F28" w:rsidRDefault="00D4323A" w:rsidP="00610F28">
            <w:pPr>
              <w:rPr>
                <w:rFonts w:ascii="Calibri" w:hAnsi="Calibri" w:cs="Calibri"/>
              </w:rPr>
            </w:pPr>
          </w:p>
        </w:tc>
        <w:tc>
          <w:tcPr>
            <w:tcW w:w="1740" w:type="dxa"/>
            <w:vAlign w:val="center"/>
          </w:tcPr>
          <w:p w14:paraId="19CD4AFC" w14:textId="3689723F" w:rsidR="00D4323A" w:rsidRPr="00610F28" w:rsidRDefault="00D4323A" w:rsidP="00610F28">
            <w:pPr>
              <w:rPr>
                <w:rFonts w:ascii="Calibri" w:hAnsi="Calibri" w:cs="Calibri"/>
              </w:rPr>
            </w:pPr>
          </w:p>
        </w:tc>
        <w:tc>
          <w:tcPr>
            <w:tcW w:w="1740" w:type="dxa"/>
            <w:vAlign w:val="center"/>
          </w:tcPr>
          <w:p w14:paraId="73C261DC" w14:textId="1A5DF614" w:rsidR="00D4323A" w:rsidRPr="00610F28" w:rsidRDefault="00D87124" w:rsidP="00610F28">
            <w:pPr>
              <w:rPr>
                <w:rFonts w:ascii="Calibri" w:hAnsi="Calibri" w:cs="Calibri"/>
              </w:rPr>
            </w:pPr>
            <w:r>
              <w:rPr>
                <w:rFonts w:ascii="Calibri" w:hAnsi="Calibri" w:cs="Calibri"/>
              </w:rPr>
              <w:t>X</w:t>
            </w:r>
          </w:p>
        </w:tc>
      </w:tr>
      <w:tr w:rsidR="00241257" w:rsidRPr="00610F28" w14:paraId="59183813" w14:textId="77777777" w:rsidTr="5F516881">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486CDF1" w:rsidR="00D4323A" w:rsidRPr="00610F28" w:rsidRDefault="00D4323A" w:rsidP="00610F28">
            <w:pPr>
              <w:rPr>
                <w:rFonts w:ascii="Calibri" w:hAnsi="Calibri" w:cs="Calibri"/>
              </w:rPr>
            </w:pPr>
          </w:p>
        </w:tc>
        <w:tc>
          <w:tcPr>
            <w:tcW w:w="1740" w:type="dxa"/>
            <w:vAlign w:val="center"/>
          </w:tcPr>
          <w:p w14:paraId="2C5216D1" w14:textId="1CAE9DA2" w:rsidR="00D4323A" w:rsidRPr="00610F28" w:rsidRDefault="00D4323A" w:rsidP="00610F28">
            <w:pPr>
              <w:rPr>
                <w:rFonts w:ascii="Calibri" w:hAnsi="Calibri" w:cs="Calibri"/>
              </w:rPr>
            </w:pPr>
          </w:p>
        </w:tc>
        <w:tc>
          <w:tcPr>
            <w:tcW w:w="1740" w:type="dxa"/>
            <w:vAlign w:val="center"/>
          </w:tcPr>
          <w:p w14:paraId="6442287D" w14:textId="21B625B9" w:rsidR="00D4323A" w:rsidRPr="00610F28" w:rsidRDefault="00D87124" w:rsidP="00610F28">
            <w:pPr>
              <w:rPr>
                <w:rFonts w:ascii="Calibri" w:hAnsi="Calibri" w:cs="Calibri"/>
              </w:rPr>
            </w:pPr>
            <w:r>
              <w:rPr>
                <w:rFonts w:ascii="Calibri" w:hAnsi="Calibri" w:cs="Calibri"/>
              </w:rPr>
              <w:t>X</w:t>
            </w:r>
          </w:p>
        </w:tc>
      </w:tr>
      <w:tr w:rsidR="00241257" w:rsidRPr="00610F28" w14:paraId="48369ACB" w14:textId="77777777" w:rsidTr="5F516881">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2977CD3" w:rsidR="00D4323A" w:rsidRPr="00610F28" w:rsidRDefault="00D4323A" w:rsidP="00610F28">
            <w:pPr>
              <w:rPr>
                <w:rFonts w:ascii="Calibri" w:hAnsi="Calibri" w:cs="Calibri"/>
              </w:rPr>
            </w:pPr>
          </w:p>
        </w:tc>
        <w:tc>
          <w:tcPr>
            <w:tcW w:w="1740" w:type="dxa"/>
            <w:vAlign w:val="center"/>
          </w:tcPr>
          <w:p w14:paraId="1DB61E0D" w14:textId="10431BFB" w:rsidR="00D4323A" w:rsidRPr="00610F28" w:rsidRDefault="00D4323A" w:rsidP="00610F28">
            <w:pPr>
              <w:rPr>
                <w:rFonts w:ascii="Calibri" w:hAnsi="Calibri" w:cs="Calibri"/>
              </w:rPr>
            </w:pPr>
          </w:p>
        </w:tc>
        <w:tc>
          <w:tcPr>
            <w:tcW w:w="1740" w:type="dxa"/>
            <w:vAlign w:val="center"/>
          </w:tcPr>
          <w:p w14:paraId="6EAB99C2" w14:textId="63D1F67B" w:rsidR="00D4323A" w:rsidRPr="00610F28" w:rsidRDefault="00D87124" w:rsidP="00610F28">
            <w:pPr>
              <w:rPr>
                <w:rFonts w:ascii="Calibri" w:hAnsi="Calibri" w:cs="Calibri"/>
              </w:rPr>
            </w:pPr>
            <w:r>
              <w:rPr>
                <w:rFonts w:ascii="Calibri" w:hAnsi="Calibri" w:cs="Calibri"/>
              </w:rPr>
              <w:t>X</w:t>
            </w:r>
          </w:p>
        </w:tc>
      </w:tr>
      <w:tr w:rsidR="003857BB" w:rsidRPr="00610F28" w14:paraId="7D41F093" w14:textId="77777777" w:rsidTr="5F516881">
        <w:trPr>
          <w:trHeight w:val="24"/>
        </w:trPr>
        <w:tc>
          <w:tcPr>
            <w:tcW w:w="1066" w:type="dxa"/>
            <w:vAlign w:val="center"/>
          </w:tcPr>
          <w:p w14:paraId="71DD2633" w14:textId="1251887A" w:rsidR="003857BB" w:rsidRPr="00610F28" w:rsidRDefault="003857BB" w:rsidP="003857BB">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3857BB" w:rsidRPr="00610F28" w:rsidRDefault="003857BB" w:rsidP="003857BB">
            <w:pPr>
              <w:rPr>
                <w:rFonts w:ascii="Calibri" w:hAnsi="Calibri" w:cs="Calibri"/>
              </w:rPr>
            </w:pPr>
            <w:r w:rsidRPr="00610F28">
              <w:rPr>
                <w:rFonts w:ascii="Calibri" w:hAnsi="Calibri" w:cs="Calibri"/>
              </w:rPr>
              <w:t>State-owned companies</w:t>
            </w:r>
          </w:p>
        </w:tc>
        <w:tc>
          <w:tcPr>
            <w:tcW w:w="1740" w:type="dxa"/>
            <w:vAlign w:val="center"/>
          </w:tcPr>
          <w:p w14:paraId="05A8F904" w14:textId="389CA89C" w:rsidR="003857BB" w:rsidRPr="00610F28" w:rsidRDefault="003857BB" w:rsidP="003857BB">
            <w:pPr>
              <w:rPr>
                <w:rFonts w:ascii="Calibri" w:hAnsi="Calibri" w:cs="Calibri"/>
              </w:rPr>
            </w:pPr>
          </w:p>
        </w:tc>
        <w:tc>
          <w:tcPr>
            <w:tcW w:w="1740" w:type="dxa"/>
            <w:vAlign w:val="center"/>
          </w:tcPr>
          <w:p w14:paraId="3E65D27D" w14:textId="46585D67" w:rsidR="003857BB" w:rsidRPr="00610F28" w:rsidRDefault="003857BB" w:rsidP="003857BB">
            <w:pPr>
              <w:rPr>
                <w:rFonts w:ascii="Calibri" w:hAnsi="Calibri" w:cs="Calibri"/>
              </w:rPr>
            </w:pPr>
          </w:p>
        </w:tc>
        <w:tc>
          <w:tcPr>
            <w:tcW w:w="1740" w:type="dxa"/>
            <w:vAlign w:val="center"/>
          </w:tcPr>
          <w:p w14:paraId="6348DC8D" w14:textId="08E9C971" w:rsidR="003857BB" w:rsidRPr="00610F28" w:rsidRDefault="00D87124" w:rsidP="003857BB">
            <w:pPr>
              <w:rPr>
                <w:rFonts w:ascii="Calibri" w:hAnsi="Calibri" w:cs="Calibri"/>
              </w:rPr>
            </w:pPr>
            <w:r>
              <w:rPr>
                <w:rFonts w:ascii="Calibri" w:hAnsi="Calibri" w:cs="Calibri"/>
              </w:rPr>
              <w:t>X</w:t>
            </w:r>
          </w:p>
        </w:tc>
      </w:tr>
      <w:tr w:rsidR="003857BB" w:rsidRPr="00610F28" w14:paraId="543BC3CB" w14:textId="77777777" w:rsidTr="5F516881">
        <w:trPr>
          <w:trHeight w:val="300"/>
        </w:trPr>
        <w:tc>
          <w:tcPr>
            <w:tcW w:w="1066" w:type="dxa"/>
            <w:vAlign w:val="center"/>
          </w:tcPr>
          <w:p w14:paraId="65B7320F" w14:textId="29707F44" w:rsidR="003857BB" w:rsidRPr="00610F28" w:rsidRDefault="003857BB" w:rsidP="003857BB">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3857BB" w:rsidRPr="00610F28" w:rsidRDefault="003857BB" w:rsidP="003857BB">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3857BB" w:rsidRPr="00610F28" w:rsidRDefault="003857BB" w:rsidP="003857BB">
            <w:pPr>
              <w:rPr>
                <w:rFonts w:ascii="Calibri" w:hAnsi="Calibri" w:cs="Calibri"/>
              </w:rPr>
            </w:pPr>
          </w:p>
        </w:tc>
        <w:tc>
          <w:tcPr>
            <w:tcW w:w="1740" w:type="dxa"/>
            <w:vAlign w:val="center"/>
          </w:tcPr>
          <w:p w14:paraId="092AA484" w14:textId="6CFD292F" w:rsidR="003857BB" w:rsidRPr="00610F28" w:rsidRDefault="003857BB" w:rsidP="003857BB">
            <w:pPr>
              <w:rPr>
                <w:rFonts w:ascii="Calibri" w:hAnsi="Calibri" w:cs="Calibri"/>
              </w:rPr>
            </w:pPr>
          </w:p>
        </w:tc>
        <w:tc>
          <w:tcPr>
            <w:tcW w:w="1740" w:type="dxa"/>
            <w:vAlign w:val="center"/>
          </w:tcPr>
          <w:p w14:paraId="43F62023" w14:textId="0BE1B817" w:rsidR="003857BB" w:rsidRPr="00610F28" w:rsidRDefault="00D87124" w:rsidP="003857BB">
            <w:pPr>
              <w:rPr>
                <w:rFonts w:ascii="Calibri" w:hAnsi="Calibri" w:cs="Calibri"/>
              </w:rPr>
            </w:pPr>
            <w:r>
              <w:rPr>
                <w:rFonts w:ascii="Calibri" w:hAnsi="Calibri" w:cs="Calibri"/>
              </w:rPr>
              <w:t>X</w:t>
            </w:r>
          </w:p>
        </w:tc>
      </w:tr>
      <w:tr w:rsidR="003857BB" w:rsidRPr="00610F28" w14:paraId="138A0549" w14:textId="77777777" w:rsidTr="5F516881">
        <w:trPr>
          <w:trHeight w:val="24"/>
        </w:trPr>
        <w:tc>
          <w:tcPr>
            <w:tcW w:w="1066" w:type="dxa"/>
            <w:vAlign w:val="center"/>
          </w:tcPr>
          <w:p w14:paraId="13D31DDD" w14:textId="2008C838" w:rsidR="003857BB" w:rsidRPr="00610F28" w:rsidRDefault="003857BB" w:rsidP="003857BB">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3857BB" w:rsidRPr="00610F28" w:rsidRDefault="003857BB" w:rsidP="003857BB">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3857BB" w:rsidRPr="00610F28" w:rsidRDefault="003857BB" w:rsidP="003857BB">
            <w:pPr>
              <w:rPr>
                <w:rFonts w:ascii="Calibri" w:hAnsi="Calibri" w:cs="Calibri"/>
              </w:rPr>
            </w:pPr>
          </w:p>
        </w:tc>
        <w:tc>
          <w:tcPr>
            <w:tcW w:w="1740" w:type="dxa"/>
            <w:vAlign w:val="center"/>
          </w:tcPr>
          <w:p w14:paraId="77554DF9" w14:textId="77777777" w:rsidR="003857BB" w:rsidRPr="00610F28" w:rsidRDefault="003857BB" w:rsidP="003857BB">
            <w:pPr>
              <w:rPr>
                <w:rFonts w:ascii="Calibri" w:hAnsi="Calibri" w:cs="Calibri"/>
              </w:rPr>
            </w:pPr>
          </w:p>
        </w:tc>
        <w:tc>
          <w:tcPr>
            <w:tcW w:w="1740" w:type="dxa"/>
            <w:vAlign w:val="center"/>
          </w:tcPr>
          <w:p w14:paraId="1E9D4C6F" w14:textId="7F62B833" w:rsidR="003857BB" w:rsidRPr="00610F28" w:rsidRDefault="00894D69" w:rsidP="003857BB">
            <w:pPr>
              <w:rPr>
                <w:rFonts w:ascii="Calibri" w:hAnsi="Calibri" w:cs="Calibri"/>
              </w:rPr>
            </w:pPr>
            <w:r>
              <w:rPr>
                <w:rFonts w:ascii="Calibri" w:hAnsi="Calibri" w:cs="Calibri"/>
              </w:rPr>
              <w:t>X</w:t>
            </w:r>
          </w:p>
        </w:tc>
      </w:tr>
      <w:tr w:rsidR="003857BB" w:rsidRPr="00610F28" w14:paraId="25565D6D" w14:textId="77777777" w:rsidTr="5F516881">
        <w:trPr>
          <w:trHeight w:val="300"/>
        </w:trPr>
        <w:tc>
          <w:tcPr>
            <w:tcW w:w="1066" w:type="dxa"/>
            <w:vAlign w:val="center"/>
          </w:tcPr>
          <w:p w14:paraId="30F97585" w14:textId="1F91E64B" w:rsidR="003857BB" w:rsidRPr="00610F28" w:rsidRDefault="003857BB" w:rsidP="003857B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3857BB" w:rsidRPr="00610F28" w:rsidRDefault="003857BB" w:rsidP="003857BB">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F487ADA" w:rsidR="003857BB" w:rsidRPr="00610F28" w:rsidRDefault="001A2E26" w:rsidP="003857BB">
            <w:pPr>
              <w:rPr>
                <w:rFonts w:ascii="Calibri" w:hAnsi="Calibri" w:cs="Calibri"/>
              </w:rPr>
            </w:pPr>
            <w:r>
              <w:rPr>
                <w:rFonts w:ascii="Calibri" w:hAnsi="Calibri" w:cs="Calibri"/>
              </w:rPr>
              <w:t>X</w:t>
            </w:r>
          </w:p>
        </w:tc>
        <w:tc>
          <w:tcPr>
            <w:tcW w:w="1740" w:type="dxa"/>
            <w:vAlign w:val="center"/>
          </w:tcPr>
          <w:p w14:paraId="27B6EE00" w14:textId="77777777" w:rsidR="003857BB" w:rsidRPr="00610F28" w:rsidRDefault="003857BB" w:rsidP="003857BB">
            <w:pPr>
              <w:rPr>
                <w:rFonts w:ascii="Calibri" w:hAnsi="Calibri" w:cs="Calibri"/>
              </w:rPr>
            </w:pPr>
          </w:p>
        </w:tc>
        <w:tc>
          <w:tcPr>
            <w:tcW w:w="1740" w:type="dxa"/>
            <w:vAlign w:val="center"/>
          </w:tcPr>
          <w:p w14:paraId="2FD54F77" w14:textId="77777777" w:rsidR="003857BB" w:rsidRPr="00610F28" w:rsidRDefault="003857BB" w:rsidP="003857BB">
            <w:pPr>
              <w:rPr>
                <w:rFonts w:ascii="Calibri" w:hAnsi="Calibri" w:cs="Calibri"/>
              </w:rPr>
            </w:pPr>
          </w:p>
        </w:tc>
      </w:tr>
      <w:tr w:rsidR="003857BB" w:rsidRPr="00610F28" w14:paraId="009102A2" w14:textId="77777777" w:rsidTr="5F516881">
        <w:trPr>
          <w:trHeight w:val="300"/>
        </w:trPr>
        <w:tc>
          <w:tcPr>
            <w:tcW w:w="1066" w:type="dxa"/>
            <w:vAlign w:val="center"/>
          </w:tcPr>
          <w:p w14:paraId="7D4AE63A" w14:textId="5AC35F5A" w:rsidR="003857BB" w:rsidRPr="00610F28" w:rsidRDefault="003857BB" w:rsidP="003857BB">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3857BB" w:rsidRPr="00610F28" w:rsidRDefault="003857BB" w:rsidP="003857BB">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1D7C8B0A" w:rsidR="003857BB" w:rsidRPr="00610F28" w:rsidRDefault="001102E6" w:rsidP="003857BB">
            <w:pPr>
              <w:rPr>
                <w:rFonts w:ascii="Calibri" w:hAnsi="Calibri" w:cs="Calibri"/>
              </w:rPr>
            </w:pPr>
            <w:r>
              <w:rPr>
                <w:rFonts w:ascii="Calibri" w:hAnsi="Calibri" w:cs="Calibri"/>
              </w:rPr>
              <w:t>X</w:t>
            </w:r>
          </w:p>
        </w:tc>
        <w:tc>
          <w:tcPr>
            <w:tcW w:w="1740" w:type="dxa"/>
            <w:vAlign w:val="center"/>
          </w:tcPr>
          <w:p w14:paraId="3D9E5463" w14:textId="77777777" w:rsidR="003857BB" w:rsidRPr="00610F28" w:rsidRDefault="003857BB" w:rsidP="003857BB">
            <w:pPr>
              <w:rPr>
                <w:rFonts w:ascii="Calibri" w:hAnsi="Calibri" w:cs="Calibri"/>
              </w:rPr>
            </w:pPr>
          </w:p>
        </w:tc>
        <w:tc>
          <w:tcPr>
            <w:tcW w:w="1740" w:type="dxa"/>
            <w:vAlign w:val="center"/>
          </w:tcPr>
          <w:p w14:paraId="7E182D5B" w14:textId="77777777" w:rsidR="003857BB" w:rsidRPr="00610F28" w:rsidRDefault="003857BB" w:rsidP="003857BB">
            <w:pPr>
              <w:rPr>
                <w:rFonts w:ascii="Calibri" w:hAnsi="Calibri" w:cs="Calibri"/>
              </w:rPr>
            </w:pPr>
          </w:p>
        </w:tc>
      </w:tr>
      <w:tr w:rsidR="003857BB" w:rsidRPr="00610F28" w14:paraId="5040D6F1" w14:textId="77777777" w:rsidTr="5F516881">
        <w:trPr>
          <w:trHeight w:val="300"/>
        </w:trPr>
        <w:tc>
          <w:tcPr>
            <w:tcW w:w="1066" w:type="dxa"/>
            <w:vAlign w:val="center"/>
          </w:tcPr>
          <w:p w14:paraId="561EBD05" w14:textId="0191F710" w:rsidR="003857BB" w:rsidRPr="00610F28" w:rsidRDefault="003857BB" w:rsidP="003857BB">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3857BB" w:rsidRPr="00610F28" w:rsidRDefault="003857BB" w:rsidP="003857BB">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39AC3A0" w:rsidR="003857BB" w:rsidRPr="00610F28" w:rsidRDefault="005038B9" w:rsidP="003857BB">
            <w:pPr>
              <w:rPr>
                <w:rFonts w:ascii="Calibri" w:hAnsi="Calibri" w:cs="Calibri"/>
              </w:rPr>
            </w:pPr>
            <w:r>
              <w:rPr>
                <w:rFonts w:ascii="Calibri" w:hAnsi="Calibri" w:cs="Calibri"/>
              </w:rPr>
              <w:t>X</w:t>
            </w:r>
          </w:p>
        </w:tc>
        <w:tc>
          <w:tcPr>
            <w:tcW w:w="1740" w:type="dxa"/>
            <w:vAlign w:val="center"/>
          </w:tcPr>
          <w:p w14:paraId="133084FA" w14:textId="77777777" w:rsidR="003857BB" w:rsidRPr="00610F28" w:rsidRDefault="003857BB" w:rsidP="003857BB">
            <w:pPr>
              <w:rPr>
                <w:rFonts w:ascii="Calibri" w:hAnsi="Calibri" w:cs="Calibri"/>
              </w:rPr>
            </w:pPr>
          </w:p>
        </w:tc>
        <w:tc>
          <w:tcPr>
            <w:tcW w:w="1740" w:type="dxa"/>
            <w:vAlign w:val="center"/>
          </w:tcPr>
          <w:p w14:paraId="476A335A" w14:textId="77777777" w:rsidR="003857BB" w:rsidRPr="00610F28" w:rsidRDefault="003857BB" w:rsidP="003857BB">
            <w:pPr>
              <w:rPr>
                <w:rFonts w:ascii="Calibri" w:hAnsi="Calibri" w:cs="Calibri"/>
              </w:rPr>
            </w:pPr>
          </w:p>
        </w:tc>
      </w:tr>
      <w:tr w:rsidR="003857BB" w:rsidRPr="00610F28" w14:paraId="2B35CCE8" w14:textId="77777777" w:rsidTr="5F516881">
        <w:trPr>
          <w:trHeight w:val="300"/>
        </w:trPr>
        <w:tc>
          <w:tcPr>
            <w:tcW w:w="1066" w:type="dxa"/>
            <w:vAlign w:val="center"/>
          </w:tcPr>
          <w:p w14:paraId="6282ADD2" w14:textId="0FB256AD" w:rsidR="003857BB" w:rsidRPr="00610F28" w:rsidRDefault="003857BB" w:rsidP="003857BB">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3857BB" w:rsidRPr="00610F28" w:rsidRDefault="003857BB" w:rsidP="003857BB">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965EC09" w:rsidR="003857BB" w:rsidRPr="00610F28" w:rsidRDefault="00905ED3" w:rsidP="003857BB">
            <w:pPr>
              <w:rPr>
                <w:rFonts w:ascii="Calibri" w:hAnsi="Calibri" w:cs="Calibri"/>
              </w:rPr>
            </w:pPr>
            <w:r>
              <w:rPr>
                <w:rFonts w:ascii="Calibri" w:hAnsi="Calibri" w:cs="Calibri"/>
              </w:rPr>
              <w:t>X</w:t>
            </w:r>
          </w:p>
        </w:tc>
        <w:tc>
          <w:tcPr>
            <w:tcW w:w="1740" w:type="dxa"/>
            <w:vAlign w:val="center"/>
          </w:tcPr>
          <w:p w14:paraId="44C14213" w14:textId="77777777" w:rsidR="003857BB" w:rsidRPr="00610F28" w:rsidRDefault="003857BB" w:rsidP="003857BB">
            <w:pPr>
              <w:rPr>
                <w:rFonts w:ascii="Calibri" w:hAnsi="Calibri" w:cs="Calibri"/>
              </w:rPr>
            </w:pPr>
          </w:p>
        </w:tc>
        <w:tc>
          <w:tcPr>
            <w:tcW w:w="1740" w:type="dxa"/>
            <w:vAlign w:val="center"/>
          </w:tcPr>
          <w:p w14:paraId="4510A925" w14:textId="77777777" w:rsidR="003857BB" w:rsidRPr="00610F28" w:rsidRDefault="003857BB" w:rsidP="003857BB">
            <w:pPr>
              <w:rPr>
                <w:rFonts w:ascii="Calibri" w:hAnsi="Calibri" w:cs="Calibri"/>
              </w:rPr>
            </w:pPr>
          </w:p>
        </w:tc>
      </w:tr>
      <w:tr w:rsidR="003857BB" w:rsidRPr="00610F28" w14:paraId="63AC8EAE" w14:textId="77777777" w:rsidTr="5F516881">
        <w:trPr>
          <w:trHeight w:val="24"/>
        </w:trPr>
        <w:tc>
          <w:tcPr>
            <w:tcW w:w="1066" w:type="dxa"/>
            <w:vAlign w:val="center"/>
          </w:tcPr>
          <w:p w14:paraId="4A02994D" w14:textId="6D38F21A" w:rsidR="003857BB" w:rsidRPr="00610F28" w:rsidRDefault="003857BB" w:rsidP="003857BB">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3857BB" w:rsidRPr="00610F28" w:rsidRDefault="003857BB" w:rsidP="003857BB">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5DED226E" w:rsidR="003857BB" w:rsidRPr="00610F28" w:rsidRDefault="003857BB" w:rsidP="003857BB">
            <w:pPr>
              <w:rPr>
                <w:rFonts w:ascii="Calibri" w:hAnsi="Calibri" w:cs="Calibri"/>
              </w:rPr>
            </w:pPr>
          </w:p>
        </w:tc>
        <w:tc>
          <w:tcPr>
            <w:tcW w:w="1740" w:type="dxa"/>
            <w:vAlign w:val="center"/>
          </w:tcPr>
          <w:p w14:paraId="209EDD65" w14:textId="77777777" w:rsidR="003857BB" w:rsidRPr="00610F28" w:rsidRDefault="003857BB" w:rsidP="003857BB">
            <w:pPr>
              <w:rPr>
                <w:rFonts w:ascii="Calibri" w:hAnsi="Calibri" w:cs="Calibri"/>
              </w:rPr>
            </w:pPr>
          </w:p>
        </w:tc>
        <w:tc>
          <w:tcPr>
            <w:tcW w:w="1740" w:type="dxa"/>
            <w:vAlign w:val="center"/>
          </w:tcPr>
          <w:p w14:paraId="09A03F64" w14:textId="6D4ECDFE" w:rsidR="003857BB" w:rsidRPr="00610F28" w:rsidRDefault="00D87124" w:rsidP="003857BB">
            <w:pPr>
              <w:rPr>
                <w:rFonts w:ascii="Calibri" w:hAnsi="Calibri" w:cs="Calibri"/>
              </w:rPr>
            </w:pPr>
            <w:r>
              <w:rPr>
                <w:rFonts w:ascii="Calibri" w:hAnsi="Calibri" w:cs="Calibri"/>
              </w:rPr>
              <w:t>X</w:t>
            </w:r>
          </w:p>
        </w:tc>
      </w:tr>
      <w:tr w:rsidR="003857BB" w:rsidRPr="00610F28" w14:paraId="1A8575DF" w14:textId="77777777" w:rsidTr="5F516881">
        <w:trPr>
          <w:trHeight w:val="24"/>
        </w:trPr>
        <w:tc>
          <w:tcPr>
            <w:tcW w:w="1066" w:type="dxa"/>
            <w:vAlign w:val="center"/>
          </w:tcPr>
          <w:p w14:paraId="6DEAA19E" w14:textId="5CAC2C1D" w:rsidR="003857BB" w:rsidRPr="00610F28" w:rsidRDefault="003857BB" w:rsidP="003857BB">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3857BB" w:rsidRPr="00610F28" w:rsidRDefault="003857BB" w:rsidP="003857BB">
            <w:pPr>
              <w:rPr>
                <w:rFonts w:ascii="Calibri" w:hAnsi="Calibri" w:cs="Calibri"/>
              </w:rPr>
            </w:pPr>
            <w:r w:rsidRPr="00610F28">
              <w:rPr>
                <w:rFonts w:ascii="Calibri" w:hAnsi="Calibri" w:cs="Calibri"/>
              </w:rPr>
              <w:t>Other</w:t>
            </w:r>
          </w:p>
        </w:tc>
        <w:tc>
          <w:tcPr>
            <w:tcW w:w="1740" w:type="dxa"/>
            <w:vAlign w:val="center"/>
          </w:tcPr>
          <w:p w14:paraId="0DA1CE7A" w14:textId="77777777" w:rsidR="003857BB" w:rsidRPr="00610F28" w:rsidRDefault="003857BB" w:rsidP="003857BB">
            <w:pPr>
              <w:rPr>
                <w:rFonts w:ascii="Calibri" w:hAnsi="Calibri" w:cs="Calibri"/>
              </w:rPr>
            </w:pPr>
          </w:p>
        </w:tc>
        <w:tc>
          <w:tcPr>
            <w:tcW w:w="1740" w:type="dxa"/>
            <w:vAlign w:val="center"/>
          </w:tcPr>
          <w:p w14:paraId="137AC596" w14:textId="77777777" w:rsidR="003857BB" w:rsidRPr="00610F28" w:rsidRDefault="003857BB" w:rsidP="003857BB">
            <w:pPr>
              <w:rPr>
                <w:rFonts w:ascii="Calibri" w:hAnsi="Calibri" w:cs="Calibri"/>
              </w:rPr>
            </w:pPr>
          </w:p>
        </w:tc>
        <w:tc>
          <w:tcPr>
            <w:tcW w:w="1740" w:type="dxa"/>
            <w:vAlign w:val="center"/>
          </w:tcPr>
          <w:p w14:paraId="67FAC5DC" w14:textId="77777777" w:rsidR="003857BB" w:rsidRPr="00610F28" w:rsidRDefault="003857BB" w:rsidP="003857BB">
            <w:pPr>
              <w:rPr>
                <w:rFonts w:ascii="Calibri" w:hAnsi="Calibri" w:cs="Calibri"/>
              </w:rPr>
            </w:pPr>
          </w:p>
        </w:tc>
      </w:tr>
      <w:tr w:rsidR="003857BB" w:rsidRPr="00610F28" w14:paraId="4636B4E5" w14:textId="77777777" w:rsidTr="5F516881">
        <w:trPr>
          <w:trHeight w:val="24"/>
        </w:trPr>
        <w:tc>
          <w:tcPr>
            <w:tcW w:w="1066" w:type="dxa"/>
            <w:vAlign w:val="center"/>
          </w:tcPr>
          <w:p w14:paraId="2903B984" w14:textId="7616EE3B" w:rsidR="003857BB" w:rsidRPr="00610F28" w:rsidRDefault="003857BB" w:rsidP="003857B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3857BB" w:rsidRPr="00610F28" w:rsidRDefault="003857BB" w:rsidP="003857BB">
            <w:pPr>
              <w:rPr>
                <w:rFonts w:ascii="Calibri" w:hAnsi="Calibri" w:cs="Calibri"/>
              </w:rPr>
            </w:pPr>
            <w:r w:rsidRPr="00610F28">
              <w:rPr>
                <w:rFonts w:ascii="Calibri" w:hAnsi="Calibri" w:cs="Calibri"/>
              </w:rPr>
              <w:t>If “Other” please clarify.</w:t>
            </w:r>
          </w:p>
        </w:tc>
      </w:tr>
      <w:tr w:rsidR="003857BB" w:rsidRPr="00610F28" w14:paraId="66799BBC" w14:textId="77777777" w:rsidTr="5F516881">
        <w:trPr>
          <w:trHeight w:val="1020"/>
        </w:trPr>
        <w:tc>
          <w:tcPr>
            <w:tcW w:w="1066" w:type="dxa"/>
            <w:vAlign w:val="center"/>
          </w:tcPr>
          <w:p w14:paraId="3BC694CD" w14:textId="77777777" w:rsidR="003857BB" w:rsidRPr="00610F28" w:rsidRDefault="003857BB" w:rsidP="003857BB">
            <w:pPr>
              <w:rPr>
                <w:rFonts w:ascii="Calibri" w:hAnsi="Calibri" w:cs="Calibri"/>
              </w:rPr>
            </w:pPr>
          </w:p>
        </w:tc>
        <w:tc>
          <w:tcPr>
            <w:tcW w:w="9374" w:type="dxa"/>
            <w:gridSpan w:val="4"/>
            <w:shd w:val="clear" w:color="auto" w:fill="auto"/>
            <w:vAlign w:val="center"/>
          </w:tcPr>
          <w:p w14:paraId="4C474D9F" w14:textId="2FBDDA67" w:rsidR="003857BB" w:rsidRPr="00610F28" w:rsidRDefault="00D87124" w:rsidP="003857BB">
            <w:pPr>
              <w:rPr>
                <w:rFonts w:ascii="Calibri" w:hAnsi="Calibri" w:cs="Calibri"/>
              </w:rPr>
            </w:pPr>
            <w:r>
              <w:rPr>
                <w:rFonts w:ascii="Calibri" w:hAnsi="Calibri" w:cs="Calibri"/>
              </w:rPr>
              <w:t>Procurement provisions set requirements for procurement processes. Companies partaking in procurement will have to comply.</w:t>
            </w:r>
          </w:p>
        </w:tc>
      </w:tr>
      <w:tr w:rsidR="003857BB" w:rsidRPr="00610F28" w14:paraId="0B6A5F36" w14:textId="77777777" w:rsidTr="5F516881">
        <w:trPr>
          <w:trHeight w:val="107"/>
        </w:trPr>
        <w:tc>
          <w:tcPr>
            <w:tcW w:w="1066" w:type="dxa"/>
            <w:vAlign w:val="center"/>
          </w:tcPr>
          <w:p w14:paraId="6258665E" w14:textId="1830014D" w:rsidR="003857BB" w:rsidRPr="00610F28" w:rsidRDefault="003857BB" w:rsidP="003857BB">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3857BB" w:rsidRPr="00610F28" w:rsidRDefault="003857BB" w:rsidP="003857BB">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3857BB" w:rsidRPr="00610F28" w14:paraId="5175A6D8" w14:textId="77777777" w:rsidTr="5F516881">
        <w:trPr>
          <w:trHeight w:val="39"/>
        </w:trPr>
        <w:tc>
          <w:tcPr>
            <w:tcW w:w="1066" w:type="dxa"/>
            <w:vAlign w:val="center"/>
          </w:tcPr>
          <w:p w14:paraId="0AD34C00" w14:textId="77777777" w:rsidR="003857BB" w:rsidRPr="00610F28" w:rsidRDefault="003857BB" w:rsidP="003857BB">
            <w:pPr>
              <w:rPr>
                <w:rFonts w:ascii="Calibri" w:hAnsi="Calibri" w:cs="Calibri"/>
              </w:rPr>
            </w:pPr>
          </w:p>
        </w:tc>
        <w:tc>
          <w:tcPr>
            <w:tcW w:w="4154" w:type="dxa"/>
            <w:shd w:val="clear" w:color="auto" w:fill="E2EFD9" w:themeFill="accent6" w:themeFillTint="33"/>
            <w:vAlign w:val="center"/>
          </w:tcPr>
          <w:p w14:paraId="67174402" w14:textId="77777777" w:rsidR="003857BB" w:rsidRPr="00610F28" w:rsidRDefault="003857BB" w:rsidP="003857BB">
            <w:pPr>
              <w:rPr>
                <w:rFonts w:ascii="Calibri" w:hAnsi="Calibri" w:cs="Calibri"/>
              </w:rPr>
            </w:pPr>
          </w:p>
        </w:tc>
        <w:tc>
          <w:tcPr>
            <w:tcW w:w="1740" w:type="dxa"/>
            <w:shd w:val="clear" w:color="auto" w:fill="E2EFD9" w:themeFill="accent6" w:themeFillTint="33"/>
            <w:vAlign w:val="center"/>
          </w:tcPr>
          <w:p w14:paraId="029900C8" w14:textId="77777777" w:rsidR="003857BB" w:rsidRPr="00610F28" w:rsidRDefault="003857BB" w:rsidP="003857BB">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3857BB" w:rsidRPr="00610F28" w:rsidRDefault="003857BB" w:rsidP="003857BB">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3857BB" w:rsidRPr="00610F28" w:rsidRDefault="003857BB" w:rsidP="003857BB">
            <w:pPr>
              <w:jc w:val="center"/>
              <w:rPr>
                <w:rFonts w:ascii="Calibri" w:hAnsi="Calibri" w:cs="Calibri"/>
              </w:rPr>
            </w:pPr>
            <w:r w:rsidRPr="00610F28">
              <w:rPr>
                <w:rFonts w:ascii="Calibri" w:hAnsi="Calibri" w:cs="Calibri"/>
              </w:rPr>
              <w:t>Not targeted</w:t>
            </w:r>
          </w:p>
        </w:tc>
      </w:tr>
      <w:tr w:rsidR="003857BB" w:rsidRPr="00610F28" w14:paraId="5845EF5A" w14:textId="77777777" w:rsidTr="5F516881">
        <w:trPr>
          <w:trHeight w:val="35"/>
        </w:trPr>
        <w:tc>
          <w:tcPr>
            <w:tcW w:w="1066" w:type="dxa"/>
            <w:vAlign w:val="center"/>
          </w:tcPr>
          <w:p w14:paraId="298E9C90" w14:textId="0EE0508F" w:rsidR="003857BB" w:rsidRPr="00610F28" w:rsidRDefault="003857BB" w:rsidP="003857BB">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3857BB" w:rsidRPr="00610F28" w:rsidRDefault="003857BB" w:rsidP="003857BB">
            <w:pPr>
              <w:rPr>
                <w:rFonts w:ascii="Calibri" w:hAnsi="Calibri" w:cs="Calibri"/>
              </w:rPr>
            </w:pPr>
            <w:r w:rsidRPr="00610F28">
              <w:rPr>
                <w:rFonts w:ascii="Calibri" w:hAnsi="Calibri" w:cs="Calibri"/>
              </w:rPr>
              <w:t>Banks</w:t>
            </w:r>
          </w:p>
        </w:tc>
        <w:tc>
          <w:tcPr>
            <w:tcW w:w="1740" w:type="dxa"/>
            <w:vAlign w:val="center"/>
          </w:tcPr>
          <w:p w14:paraId="5F862D6D" w14:textId="21706215" w:rsidR="003857BB" w:rsidRPr="00610F28" w:rsidRDefault="003857BB" w:rsidP="003857BB">
            <w:pPr>
              <w:rPr>
                <w:rFonts w:ascii="Calibri" w:hAnsi="Calibri" w:cs="Calibri"/>
              </w:rPr>
            </w:pPr>
          </w:p>
        </w:tc>
        <w:tc>
          <w:tcPr>
            <w:tcW w:w="1740" w:type="dxa"/>
            <w:vAlign w:val="center"/>
          </w:tcPr>
          <w:p w14:paraId="39899F5E" w14:textId="77777777" w:rsidR="003857BB" w:rsidRPr="00610F28" w:rsidRDefault="003857BB" w:rsidP="003857BB">
            <w:pPr>
              <w:rPr>
                <w:rFonts w:ascii="Calibri" w:hAnsi="Calibri" w:cs="Calibri"/>
              </w:rPr>
            </w:pPr>
          </w:p>
        </w:tc>
        <w:tc>
          <w:tcPr>
            <w:tcW w:w="1740" w:type="dxa"/>
            <w:vAlign w:val="center"/>
          </w:tcPr>
          <w:p w14:paraId="6FB39AC8" w14:textId="77777777" w:rsidR="003857BB" w:rsidRPr="00610F28" w:rsidRDefault="003857BB" w:rsidP="003857BB">
            <w:pPr>
              <w:rPr>
                <w:rFonts w:ascii="Calibri" w:hAnsi="Calibri" w:cs="Calibri"/>
              </w:rPr>
            </w:pPr>
          </w:p>
        </w:tc>
      </w:tr>
      <w:tr w:rsidR="003857BB" w:rsidRPr="00610F28" w14:paraId="0F0903E8" w14:textId="77777777" w:rsidTr="5F516881">
        <w:trPr>
          <w:trHeight w:val="35"/>
        </w:trPr>
        <w:tc>
          <w:tcPr>
            <w:tcW w:w="1066" w:type="dxa"/>
            <w:vAlign w:val="center"/>
          </w:tcPr>
          <w:p w14:paraId="0DFC43EA" w14:textId="3C076310" w:rsidR="003857BB" w:rsidRPr="00610F28" w:rsidRDefault="003857BB" w:rsidP="003857BB">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3857BB" w:rsidRPr="00610F28" w:rsidRDefault="003857BB" w:rsidP="003857BB">
            <w:pPr>
              <w:rPr>
                <w:rFonts w:ascii="Calibri" w:hAnsi="Calibri" w:cs="Calibri"/>
              </w:rPr>
            </w:pPr>
            <w:r w:rsidRPr="00610F28">
              <w:rPr>
                <w:rFonts w:ascii="Calibri" w:hAnsi="Calibri" w:cs="Calibri"/>
              </w:rPr>
              <w:t>Non-Bank Financial Companies</w:t>
            </w:r>
          </w:p>
        </w:tc>
        <w:tc>
          <w:tcPr>
            <w:tcW w:w="1740" w:type="dxa"/>
            <w:vAlign w:val="center"/>
          </w:tcPr>
          <w:p w14:paraId="4683E7F4" w14:textId="6F6F9019" w:rsidR="003857BB" w:rsidRPr="00610F28" w:rsidRDefault="003857BB" w:rsidP="003857BB">
            <w:pPr>
              <w:rPr>
                <w:rFonts w:ascii="Calibri" w:hAnsi="Calibri" w:cs="Calibri"/>
              </w:rPr>
            </w:pPr>
          </w:p>
        </w:tc>
        <w:tc>
          <w:tcPr>
            <w:tcW w:w="1740" w:type="dxa"/>
            <w:vAlign w:val="center"/>
          </w:tcPr>
          <w:p w14:paraId="4D665AA6" w14:textId="77777777" w:rsidR="003857BB" w:rsidRPr="00610F28" w:rsidRDefault="003857BB" w:rsidP="003857BB">
            <w:pPr>
              <w:rPr>
                <w:rFonts w:ascii="Calibri" w:hAnsi="Calibri" w:cs="Calibri"/>
              </w:rPr>
            </w:pPr>
          </w:p>
        </w:tc>
        <w:tc>
          <w:tcPr>
            <w:tcW w:w="1740" w:type="dxa"/>
            <w:vAlign w:val="center"/>
          </w:tcPr>
          <w:p w14:paraId="6AB0786E" w14:textId="77777777" w:rsidR="003857BB" w:rsidRPr="00610F28" w:rsidRDefault="003857BB" w:rsidP="003857BB">
            <w:pPr>
              <w:rPr>
                <w:rFonts w:ascii="Calibri" w:hAnsi="Calibri" w:cs="Calibri"/>
              </w:rPr>
            </w:pPr>
          </w:p>
        </w:tc>
      </w:tr>
      <w:tr w:rsidR="003857BB" w:rsidRPr="00610F28" w14:paraId="21533EE8" w14:textId="77777777" w:rsidTr="5F516881">
        <w:trPr>
          <w:trHeight w:val="35"/>
        </w:trPr>
        <w:tc>
          <w:tcPr>
            <w:tcW w:w="1066" w:type="dxa"/>
            <w:vAlign w:val="center"/>
          </w:tcPr>
          <w:p w14:paraId="67E79CFE" w14:textId="639B722F" w:rsidR="003857BB" w:rsidRPr="00610F28" w:rsidRDefault="003857BB" w:rsidP="003857BB">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3857BB" w:rsidRPr="00610F28" w:rsidRDefault="003857BB" w:rsidP="003857BB">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25F8126F" w:rsidR="003857BB" w:rsidRPr="00610F28" w:rsidRDefault="003857BB" w:rsidP="003857BB">
            <w:pPr>
              <w:rPr>
                <w:rFonts w:ascii="Calibri" w:hAnsi="Calibri" w:cs="Calibri"/>
              </w:rPr>
            </w:pPr>
          </w:p>
        </w:tc>
        <w:tc>
          <w:tcPr>
            <w:tcW w:w="1740" w:type="dxa"/>
            <w:vAlign w:val="center"/>
          </w:tcPr>
          <w:p w14:paraId="79C41BE9" w14:textId="77777777" w:rsidR="003857BB" w:rsidRPr="00610F28" w:rsidRDefault="003857BB" w:rsidP="003857BB">
            <w:pPr>
              <w:rPr>
                <w:rFonts w:ascii="Calibri" w:hAnsi="Calibri" w:cs="Calibri"/>
              </w:rPr>
            </w:pPr>
          </w:p>
        </w:tc>
        <w:tc>
          <w:tcPr>
            <w:tcW w:w="1740" w:type="dxa"/>
            <w:vAlign w:val="center"/>
          </w:tcPr>
          <w:p w14:paraId="736FC130" w14:textId="77777777" w:rsidR="003857BB" w:rsidRPr="00610F28" w:rsidRDefault="003857BB" w:rsidP="003857BB">
            <w:pPr>
              <w:rPr>
                <w:rFonts w:ascii="Calibri" w:hAnsi="Calibri" w:cs="Calibri"/>
              </w:rPr>
            </w:pPr>
          </w:p>
        </w:tc>
      </w:tr>
      <w:tr w:rsidR="003857BB" w:rsidRPr="00610F28" w14:paraId="67B602C5" w14:textId="77777777" w:rsidTr="5F516881">
        <w:trPr>
          <w:trHeight w:val="35"/>
        </w:trPr>
        <w:tc>
          <w:tcPr>
            <w:tcW w:w="1066" w:type="dxa"/>
            <w:vAlign w:val="center"/>
          </w:tcPr>
          <w:p w14:paraId="11A1167D" w14:textId="3F68BEDA" w:rsidR="003857BB" w:rsidRPr="00610F28" w:rsidRDefault="003857BB" w:rsidP="003857BB">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3857BB" w:rsidRPr="00610F28" w:rsidRDefault="003857BB" w:rsidP="003857BB">
            <w:pPr>
              <w:rPr>
                <w:rFonts w:ascii="Calibri" w:hAnsi="Calibri" w:cs="Calibri"/>
              </w:rPr>
            </w:pPr>
            <w:r w:rsidRPr="00610F28">
              <w:rPr>
                <w:rFonts w:ascii="Calibri" w:hAnsi="Calibri" w:cs="Calibri"/>
              </w:rPr>
              <w:t>Asset Managers</w:t>
            </w:r>
          </w:p>
        </w:tc>
        <w:tc>
          <w:tcPr>
            <w:tcW w:w="1740" w:type="dxa"/>
            <w:vAlign w:val="center"/>
          </w:tcPr>
          <w:p w14:paraId="4D16841D" w14:textId="1E67B511" w:rsidR="003857BB" w:rsidRPr="00610F28" w:rsidRDefault="003857BB" w:rsidP="003857BB">
            <w:pPr>
              <w:rPr>
                <w:rFonts w:ascii="Calibri" w:hAnsi="Calibri" w:cs="Calibri"/>
              </w:rPr>
            </w:pPr>
          </w:p>
        </w:tc>
        <w:tc>
          <w:tcPr>
            <w:tcW w:w="1740" w:type="dxa"/>
            <w:vAlign w:val="center"/>
          </w:tcPr>
          <w:p w14:paraId="73D72360" w14:textId="77777777" w:rsidR="003857BB" w:rsidRPr="00610F28" w:rsidRDefault="003857BB" w:rsidP="003857BB">
            <w:pPr>
              <w:rPr>
                <w:rFonts w:ascii="Calibri" w:hAnsi="Calibri" w:cs="Calibri"/>
              </w:rPr>
            </w:pPr>
          </w:p>
        </w:tc>
        <w:tc>
          <w:tcPr>
            <w:tcW w:w="1740" w:type="dxa"/>
            <w:vAlign w:val="center"/>
          </w:tcPr>
          <w:p w14:paraId="1F7507B9" w14:textId="38E7EFD6" w:rsidR="003857BB" w:rsidRPr="00610F28" w:rsidRDefault="003857BB" w:rsidP="003857BB">
            <w:pPr>
              <w:rPr>
                <w:rFonts w:ascii="Calibri" w:hAnsi="Calibri" w:cs="Calibri"/>
              </w:rPr>
            </w:pPr>
          </w:p>
        </w:tc>
      </w:tr>
      <w:tr w:rsidR="003857BB" w:rsidRPr="00610F28" w14:paraId="6FC07F31" w14:textId="77777777" w:rsidTr="5F516881">
        <w:trPr>
          <w:trHeight w:val="35"/>
        </w:trPr>
        <w:tc>
          <w:tcPr>
            <w:tcW w:w="1066" w:type="dxa"/>
            <w:vAlign w:val="center"/>
          </w:tcPr>
          <w:p w14:paraId="4C95331B" w14:textId="3F61029D" w:rsidR="003857BB" w:rsidRPr="00610F28" w:rsidRDefault="003857BB" w:rsidP="003857BB">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3857BB" w:rsidRPr="00610F28" w:rsidRDefault="003857BB" w:rsidP="003857BB">
            <w:pPr>
              <w:rPr>
                <w:rFonts w:ascii="Calibri" w:hAnsi="Calibri" w:cs="Calibri"/>
              </w:rPr>
            </w:pPr>
            <w:r w:rsidRPr="00610F28">
              <w:rPr>
                <w:rFonts w:ascii="Calibri" w:hAnsi="Calibri" w:cs="Calibri"/>
              </w:rPr>
              <w:t>Pension Funds</w:t>
            </w:r>
          </w:p>
        </w:tc>
        <w:tc>
          <w:tcPr>
            <w:tcW w:w="1740" w:type="dxa"/>
            <w:vAlign w:val="center"/>
          </w:tcPr>
          <w:p w14:paraId="47972807" w14:textId="0B9A151C" w:rsidR="003857BB" w:rsidRPr="00610F28" w:rsidRDefault="003857BB" w:rsidP="003857BB">
            <w:pPr>
              <w:rPr>
                <w:rFonts w:ascii="Calibri" w:hAnsi="Calibri" w:cs="Calibri"/>
              </w:rPr>
            </w:pPr>
          </w:p>
        </w:tc>
        <w:tc>
          <w:tcPr>
            <w:tcW w:w="1740" w:type="dxa"/>
            <w:vAlign w:val="center"/>
          </w:tcPr>
          <w:p w14:paraId="0CE7702F" w14:textId="77777777" w:rsidR="003857BB" w:rsidRPr="00610F28" w:rsidRDefault="003857BB" w:rsidP="003857BB">
            <w:pPr>
              <w:rPr>
                <w:rFonts w:ascii="Calibri" w:hAnsi="Calibri" w:cs="Calibri"/>
              </w:rPr>
            </w:pPr>
          </w:p>
        </w:tc>
        <w:tc>
          <w:tcPr>
            <w:tcW w:w="1740" w:type="dxa"/>
            <w:vAlign w:val="center"/>
          </w:tcPr>
          <w:p w14:paraId="25C7742C" w14:textId="34E8B178" w:rsidR="003857BB" w:rsidRPr="00610F28" w:rsidRDefault="003857BB" w:rsidP="003857BB">
            <w:pPr>
              <w:rPr>
                <w:rFonts w:ascii="Calibri" w:hAnsi="Calibri" w:cs="Calibri"/>
              </w:rPr>
            </w:pPr>
          </w:p>
        </w:tc>
      </w:tr>
      <w:tr w:rsidR="003857BB" w:rsidRPr="00610F28" w14:paraId="57844B26" w14:textId="77777777" w:rsidTr="5F516881">
        <w:trPr>
          <w:trHeight w:val="35"/>
        </w:trPr>
        <w:tc>
          <w:tcPr>
            <w:tcW w:w="1066" w:type="dxa"/>
            <w:vAlign w:val="center"/>
          </w:tcPr>
          <w:p w14:paraId="46DC7861" w14:textId="4D9A124D" w:rsidR="003857BB" w:rsidRPr="00610F28" w:rsidRDefault="003857BB" w:rsidP="003857BB">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3857BB" w:rsidRPr="00610F28" w:rsidRDefault="003857BB" w:rsidP="003857BB">
            <w:pPr>
              <w:rPr>
                <w:rFonts w:ascii="Calibri" w:hAnsi="Calibri" w:cs="Calibri"/>
              </w:rPr>
            </w:pPr>
            <w:r w:rsidRPr="00610F28">
              <w:rPr>
                <w:rFonts w:ascii="Calibri" w:hAnsi="Calibri" w:cs="Calibri"/>
              </w:rPr>
              <w:t>Other</w:t>
            </w:r>
          </w:p>
        </w:tc>
        <w:tc>
          <w:tcPr>
            <w:tcW w:w="1740" w:type="dxa"/>
            <w:vAlign w:val="center"/>
          </w:tcPr>
          <w:p w14:paraId="76DF637C" w14:textId="77777777" w:rsidR="003857BB" w:rsidRPr="00610F28" w:rsidRDefault="003857BB" w:rsidP="003857BB">
            <w:pPr>
              <w:rPr>
                <w:rFonts w:ascii="Calibri" w:hAnsi="Calibri" w:cs="Calibri"/>
              </w:rPr>
            </w:pPr>
          </w:p>
        </w:tc>
        <w:tc>
          <w:tcPr>
            <w:tcW w:w="1740" w:type="dxa"/>
            <w:vAlign w:val="center"/>
          </w:tcPr>
          <w:p w14:paraId="72F87385" w14:textId="77777777" w:rsidR="003857BB" w:rsidRPr="00610F28" w:rsidRDefault="003857BB" w:rsidP="003857BB">
            <w:pPr>
              <w:rPr>
                <w:rFonts w:ascii="Calibri" w:hAnsi="Calibri" w:cs="Calibri"/>
              </w:rPr>
            </w:pPr>
          </w:p>
        </w:tc>
        <w:tc>
          <w:tcPr>
            <w:tcW w:w="1740" w:type="dxa"/>
            <w:vAlign w:val="center"/>
          </w:tcPr>
          <w:p w14:paraId="4074AFAD" w14:textId="77777777" w:rsidR="003857BB" w:rsidRPr="00610F28" w:rsidRDefault="003857BB" w:rsidP="003857BB">
            <w:pPr>
              <w:rPr>
                <w:rFonts w:ascii="Calibri" w:hAnsi="Calibri" w:cs="Calibri"/>
              </w:rPr>
            </w:pPr>
          </w:p>
        </w:tc>
      </w:tr>
      <w:tr w:rsidR="003857BB" w:rsidRPr="00610F28" w14:paraId="1E0FB4B4" w14:textId="77777777" w:rsidTr="5F516881">
        <w:trPr>
          <w:trHeight w:val="35"/>
        </w:trPr>
        <w:tc>
          <w:tcPr>
            <w:tcW w:w="1066" w:type="dxa"/>
            <w:vAlign w:val="center"/>
          </w:tcPr>
          <w:p w14:paraId="0943DFB4" w14:textId="04BBA0C1" w:rsidR="003857BB" w:rsidRPr="00610F28" w:rsidRDefault="003857BB" w:rsidP="003857BB">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3857BB" w:rsidRPr="00610F28" w:rsidRDefault="003857BB" w:rsidP="003857BB">
            <w:pPr>
              <w:rPr>
                <w:rFonts w:ascii="Calibri" w:hAnsi="Calibri" w:cs="Calibri"/>
              </w:rPr>
            </w:pPr>
            <w:r w:rsidRPr="00610F28">
              <w:rPr>
                <w:rFonts w:ascii="Calibri" w:hAnsi="Calibri" w:cs="Calibri"/>
              </w:rPr>
              <w:t>If “Other” please clarify.</w:t>
            </w:r>
          </w:p>
        </w:tc>
      </w:tr>
      <w:tr w:rsidR="003857BB" w:rsidRPr="00610F28" w14:paraId="53552C78" w14:textId="77777777" w:rsidTr="5F516881">
        <w:trPr>
          <w:trHeight w:val="1020"/>
        </w:trPr>
        <w:tc>
          <w:tcPr>
            <w:tcW w:w="1066" w:type="dxa"/>
            <w:vAlign w:val="center"/>
          </w:tcPr>
          <w:p w14:paraId="5B9421CC" w14:textId="77777777" w:rsidR="003857BB" w:rsidRPr="00610F28" w:rsidRDefault="003857BB" w:rsidP="003857BB">
            <w:pPr>
              <w:rPr>
                <w:rFonts w:ascii="Calibri" w:hAnsi="Calibri" w:cs="Calibri"/>
              </w:rPr>
            </w:pPr>
          </w:p>
        </w:tc>
        <w:tc>
          <w:tcPr>
            <w:tcW w:w="9374" w:type="dxa"/>
            <w:gridSpan w:val="4"/>
            <w:shd w:val="clear" w:color="auto" w:fill="auto"/>
            <w:vAlign w:val="center"/>
          </w:tcPr>
          <w:p w14:paraId="5CE18917" w14:textId="77777777" w:rsidR="003857BB" w:rsidRPr="00610F28" w:rsidRDefault="003857BB" w:rsidP="003857BB">
            <w:pPr>
              <w:rPr>
                <w:rFonts w:ascii="Calibri" w:hAnsi="Calibri" w:cs="Calibri"/>
              </w:rPr>
            </w:pPr>
          </w:p>
        </w:tc>
      </w:tr>
      <w:tr w:rsidR="003857BB" w:rsidRPr="00610F28" w14:paraId="20FDAB63" w14:textId="77777777" w:rsidTr="5F516881">
        <w:trPr>
          <w:trHeight w:val="647"/>
        </w:trPr>
        <w:tc>
          <w:tcPr>
            <w:tcW w:w="1066" w:type="dxa"/>
            <w:vAlign w:val="center"/>
          </w:tcPr>
          <w:p w14:paraId="0597CDC4" w14:textId="101F8F75" w:rsidR="003857BB" w:rsidRPr="00610F28" w:rsidRDefault="003857BB" w:rsidP="003857BB">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3857BB" w:rsidRPr="00610F28" w:rsidRDefault="003857BB" w:rsidP="003857BB">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3857BB" w:rsidRPr="00610F28" w:rsidRDefault="003857BB" w:rsidP="003857BB">
            <w:pPr>
              <w:rPr>
                <w:rFonts w:ascii="Calibri" w:hAnsi="Calibri" w:cs="Calibri"/>
              </w:rPr>
            </w:pPr>
          </w:p>
          <w:p w14:paraId="2BBD8756" w14:textId="785353BE" w:rsidR="003857BB" w:rsidRPr="00610F28" w:rsidRDefault="003857BB" w:rsidP="003857BB">
            <w:pPr>
              <w:rPr>
                <w:rFonts w:ascii="Calibri" w:hAnsi="Calibri" w:cs="Calibri"/>
              </w:rPr>
            </w:pPr>
            <w:r w:rsidRPr="00610F28">
              <w:rPr>
                <w:rFonts w:ascii="Calibri" w:hAnsi="Calibri" w:cs="Calibri"/>
                <w:color w:val="000000"/>
              </w:rPr>
              <w:t>If entities are not targeted by sector, please leave this question blank.</w:t>
            </w:r>
          </w:p>
        </w:tc>
      </w:tr>
      <w:tr w:rsidR="003857BB" w:rsidRPr="00610F28" w14:paraId="220A2724" w14:textId="77777777" w:rsidTr="5F516881">
        <w:trPr>
          <w:trHeight w:val="25"/>
        </w:trPr>
        <w:tc>
          <w:tcPr>
            <w:tcW w:w="1066" w:type="dxa"/>
            <w:vAlign w:val="center"/>
          </w:tcPr>
          <w:p w14:paraId="3EA4B0D5" w14:textId="77777777" w:rsidR="003857BB" w:rsidRPr="00610F28" w:rsidRDefault="003857BB" w:rsidP="003857BB">
            <w:pPr>
              <w:rPr>
                <w:rFonts w:ascii="Calibri" w:hAnsi="Calibri" w:cs="Calibri"/>
              </w:rPr>
            </w:pPr>
          </w:p>
        </w:tc>
        <w:tc>
          <w:tcPr>
            <w:tcW w:w="4154" w:type="dxa"/>
            <w:shd w:val="clear" w:color="auto" w:fill="E2EFD9" w:themeFill="accent6" w:themeFillTint="33"/>
            <w:vAlign w:val="center"/>
          </w:tcPr>
          <w:p w14:paraId="4F20BA3D" w14:textId="77777777" w:rsidR="003857BB" w:rsidRPr="00610F28" w:rsidRDefault="003857BB" w:rsidP="003857BB">
            <w:pPr>
              <w:rPr>
                <w:rFonts w:ascii="Calibri" w:hAnsi="Calibri" w:cs="Calibri"/>
              </w:rPr>
            </w:pPr>
          </w:p>
        </w:tc>
        <w:tc>
          <w:tcPr>
            <w:tcW w:w="1740" w:type="dxa"/>
            <w:shd w:val="clear" w:color="auto" w:fill="E2EFD9" w:themeFill="accent6" w:themeFillTint="33"/>
            <w:vAlign w:val="center"/>
          </w:tcPr>
          <w:p w14:paraId="35958E5A" w14:textId="77777777" w:rsidR="003857BB" w:rsidRPr="00610F28" w:rsidRDefault="003857BB" w:rsidP="003857BB">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3857BB" w:rsidRPr="00610F28" w:rsidRDefault="003857BB" w:rsidP="003857BB">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3857BB" w:rsidRPr="00610F28" w:rsidRDefault="003857BB" w:rsidP="003857BB">
            <w:pPr>
              <w:jc w:val="center"/>
              <w:rPr>
                <w:rFonts w:ascii="Calibri" w:hAnsi="Calibri" w:cs="Calibri"/>
              </w:rPr>
            </w:pPr>
            <w:r w:rsidRPr="00610F28">
              <w:rPr>
                <w:rFonts w:ascii="Calibri" w:hAnsi="Calibri" w:cs="Calibri"/>
              </w:rPr>
              <w:t>Not applicable</w:t>
            </w:r>
          </w:p>
        </w:tc>
      </w:tr>
      <w:tr w:rsidR="003857BB" w:rsidRPr="00610F28" w14:paraId="2F087C42" w14:textId="77777777" w:rsidTr="5F516881">
        <w:trPr>
          <w:trHeight w:val="22"/>
        </w:trPr>
        <w:tc>
          <w:tcPr>
            <w:tcW w:w="1066" w:type="dxa"/>
            <w:vAlign w:val="center"/>
          </w:tcPr>
          <w:p w14:paraId="7A8C5C94" w14:textId="7CAB668A" w:rsidR="003857BB" w:rsidRPr="00610F28" w:rsidRDefault="003857BB" w:rsidP="003857BB">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3857BB" w:rsidRPr="00610F28" w:rsidRDefault="003857BB" w:rsidP="003857BB">
            <w:pPr>
              <w:rPr>
                <w:rFonts w:ascii="Calibri" w:hAnsi="Calibri" w:cs="Calibri"/>
              </w:rPr>
            </w:pPr>
            <w:r w:rsidRPr="6CF52AA9">
              <w:rPr>
                <w:rFonts w:ascii="Calibri" w:hAnsi="Calibri" w:cs="Calibri"/>
              </w:rPr>
              <w:t>Agriculture, forestry, and fishing</w:t>
            </w:r>
          </w:p>
        </w:tc>
        <w:tc>
          <w:tcPr>
            <w:tcW w:w="1740" w:type="dxa"/>
            <w:vAlign w:val="center"/>
          </w:tcPr>
          <w:p w14:paraId="28A594D9" w14:textId="6F007DD7" w:rsidR="003857BB" w:rsidRPr="00610F28" w:rsidRDefault="003857BB" w:rsidP="003857BB">
            <w:pPr>
              <w:rPr>
                <w:rFonts w:ascii="Calibri" w:hAnsi="Calibri" w:cs="Calibri"/>
              </w:rPr>
            </w:pPr>
          </w:p>
        </w:tc>
        <w:tc>
          <w:tcPr>
            <w:tcW w:w="1740" w:type="dxa"/>
            <w:vAlign w:val="center"/>
          </w:tcPr>
          <w:p w14:paraId="734C212B" w14:textId="5DB14F8A" w:rsidR="003857BB" w:rsidRPr="00610F28" w:rsidRDefault="166A8715" w:rsidP="003857BB">
            <w:pPr>
              <w:rPr>
                <w:rFonts w:ascii="Calibri" w:hAnsi="Calibri" w:cs="Calibri"/>
              </w:rPr>
            </w:pPr>
            <w:r w:rsidRPr="6CF52AA9">
              <w:rPr>
                <w:rFonts w:ascii="Calibri" w:hAnsi="Calibri" w:cs="Calibri"/>
              </w:rPr>
              <w:t>X</w:t>
            </w:r>
          </w:p>
        </w:tc>
        <w:tc>
          <w:tcPr>
            <w:tcW w:w="1740" w:type="dxa"/>
            <w:vAlign w:val="center"/>
          </w:tcPr>
          <w:p w14:paraId="4AA174BE" w14:textId="77777777" w:rsidR="003857BB" w:rsidRPr="00610F28" w:rsidRDefault="003857BB" w:rsidP="003857BB">
            <w:pPr>
              <w:rPr>
                <w:rFonts w:ascii="Calibri" w:hAnsi="Calibri" w:cs="Calibri"/>
              </w:rPr>
            </w:pPr>
          </w:p>
        </w:tc>
      </w:tr>
      <w:tr w:rsidR="003857BB" w:rsidRPr="00610F28" w14:paraId="222D8F27" w14:textId="77777777" w:rsidTr="5F516881">
        <w:trPr>
          <w:trHeight w:val="22"/>
        </w:trPr>
        <w:tc>
          <w:tcPr>
            <w:tcW w:w="1066" w:type="dxa"/>
            <w:vAlign w:val="center"/>
          </w:tcPr>
          <w:p w14:paraId="7393C4A5" w14:textId="1173DBC1" w:rsidR="003857BB" w:rsidRPr="00610F28" w:rsidRDefault="003857BB" w:rsidP="003857BB">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3857BB" w:rsidRPr="00610F28" w:rsidRDefault="003857BB" w:rsidP="003857BB">
            <w:pPr>
              <w:rPr>
                <w:rFonts w:ascii="Calibri" w:hAnsi="Calibri" w:cs="Calibri"/>
              </w:rPr>
            </w:pPr>
            <w:r w:rsidRPr="6CF52AA9">
              <w:rPr>
                <w:rFonts w:ascii="Calibri" w:hAnsi="Calibri" w:cs="Calibri"/>
              </w:rPr>
              <w:t>Mining and quarrying</w:t>
            </w:r>
          </w:p>
        </w:tc>
        <w:tc>
          <w:tcPr>
            <w:tcW w:w="1740" w:type="dxa"/>
            <w:vAlign w:val="center"/>
          </w:tcPr>
          <w:p w14:paraId="1FD1C498" w14:textId="77777777" w:rsidR="003857BB" w:rsidRPr="00610F28" w:rsidRDefault="003857BB" w:rsidP="003857BB">
            <w:pPr>
              <w:rPr>
                <w:rFonts w:ascii="Calibri" w:hAnsi="Calibri" w:cs="Calibri"/>
              </w:rPr>
            </w:pPr>
          </w:p>
        </w:tc>
        <w:tc>
          <w:tcPr>
            <w:tcW w:w="1740" w:type="dxa"/>
            <w:vAlign w:val="center"/>
          </w:tcPr>
          <w:p w14:paraId="4D6FB690" w14:textId="24BC4EB6" w:rsidR="003857BB" w:rsidRPr="00610F28" w:rsidRDefault="00401FDF" w:rsidP="003857BB">
            <w:pPr>
              <w:rPr>
                <w:rFonts w:ascii="Calibri" w:hAnsi="Calibri" w:cs="Calibri"/>
              </w:rPr>
            </w:pPr>
            <w:r>
              <w:rPr>
                <w:rFonts w:ascii="Calibri" w:hAnsi="Calibri" w:cs="Calibri"/>
              </w:rPr>
              <w:t>X</w:t>
            </w:r>
          </w:p>
        </w:tc>
        <w:tc>
          <w:tcPr>
            <w:tcW w:w="1740" w:type="dxa"/>
            <w:vAlign w:val="center"/>
          </w:tcPr>
          <w:p w14:paraId="51BB86C2" w14:textId="7E768AEB" w:rsidR="003857BB" w:rsidRPr="00610F28" w:rsidRDefault="003857BB" w:rsidP="003857BB">
            <w:pPr>
              <w:rPr>
                <w:rFonts w:ascii="Calibri" w:hAnsi="Calibri" w:cs="Calibri"/>
              </w:rPr>
            </w:pPr>
          </w:p>
        </w:tc>
      </w:tr>
      <w:tr w:rsidR="003857BB" w:rsidRPr="00610F28" w14:paraId="24AA1325" w14:textId="77777777" w:rsidTr="5F516881">
        <w:trPr>
          <w:trHeight w:val="22"/>
        </w:trPr>
        <w:tc>
          <w:tcPr>
            <w:tcW w:w="1066" w:type="dxa"/>
            <w:vAlign w:val="center"/>
          </w:tcPr>
          <w:p w14:paraId="48D99A5E" w14:textId="45C6A051" w:rsidR="003857BB" w:rsidRPr="00610F28" w:rsidRDefault="003857BB" w:rsidP="003857BB">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3857BB" w:rsidRPr="00610F28" w:rsidRDefault="003857BB" w:rsidP="003857BB">
            <w:pPr>
              <w:rPr>
                <w:rFonts w:ascii="Calibri" w:hAnsi="Calibri" w:cs="Calibri"/>
              </w:rPr>
            </w:pPr>
            <w:r w:rsidRPr="6CF52AA9">
              <w:rPr>
                <w:rFonts w:ascii="Calibri" w:hAnsi="Calibri" w:cs="Calibri"/>
              </w:rPr>
              <w:t>Manufacturing</w:t>
            </w:r>
          </w:p>
        </w:tc>
        <w:tc>
          <w:tcPr>
            <w:tcW w:w="1740" w:type="dxa"/>
            <w:vAlign w:val="center"/>
          </w:tcPr>
          <w:p w14:paraId="32F8D8F9" w14:textId="77777777" w:rsidR="003857BB" w:rsidRPr="00610F28" w:rsidRDefault="003857BB" w:rsidP="003857BB">
            <w:pPr>
              <w:rPr>
                <w:rFonts w:ascii="Calibri" w:hAnsi="Calibri" w:cs="Calibri"/>
              </w:rPr>
            </w:pPr>
          </w:p>
        </w:tc>
        <w:tc>
          <w:tcPr>
            <w:tcW w:w="1740" w:type="dxa"/>
            <w:vAlign w:val="center"/>
          </w:tcPr>
          <w:p w14:paraId="0FA887DA" w14:textId="672460F9" w:rsidR="003857BB" w:rsidRPr="00610F28" w:rsidRDefault="00401FDF" w:rsidP="003857BB">
            <w:pPr>
              <w:rPr>
                <w:rFonts w:ascii="Calibri" w:hAnsi="Calibri" w:cs="Calibri"/>
              </w:rPr>
            </w:pPr>
            <w:r>
              <w:rPr>
                <w:rFonts w:ascii="Calibri" w:hAnsi="Calibri" w:cs="Calibri"/>
              </w:rPr>
              <w:t>X</w:t>
            </w:r>
          </w:p>
        </w:tc>
        <w:tc>
          <w:tcPr>
            <w:tcW w:w="1740" w:type="dxa"/>
            <w:vAlign w:val="center"/>
          </w:tcPr>
          <w:p w14:paraId="4F705CEF" w14:textId="77777777" w:rsidR="003857BB" w:rsidRPr="00610F28" w:rsidRDefault="003857BB" w:rsidP="003857BB">
            <w:pPr>
              <w:rPr>
                <w:rFonts w:ascii="Calibri" w:hAnsi="Calibri" w:cs="Calibri"/>
              </w:rPr>
            </w:pPr>
          </w:p>
        </w:tc>
      </w:tr>
      <w:tr w:rsidR="003857BB" w:rsidRPr="00610F28" w14:paraId="185C1797" w14:textId="77777777" w:rsidTr="5F516881">
        <w:trPr>
          <w:trHeight w:val="22"/>
        </w:trPr>
        <w:tc>
          <w:tcPr>
            <w:tcW w:w="1066" w:type="dxa"/>
            <w:vAlign w:val="center"/>
          </w:tcPr>
          <w:p w14:paraId="2BAD2F82" w14:textId="76A70559" w:rsidR="003857BB" w:rsidRPr="00610F28" w:rsidRDefault="003857BB" w:rsidP="003857BB">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3857BB" w:rsidRPr="00610F28" w:rsidRDefault="003857BB" w:rsidP="003857BB">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3857BB" w:rsidRPr="00610F28" w:rsidRDefault="003857BB" w:rsidP="003857BB">
            <w:pPr>
              <w:rPr>
                <w:rFonts w:ascii="Calibri" w:hAnsi="Calibri" w:cs="Calibri"/>
              </w:rPr>
            </w:pPr>
          </w:p>
        </w:tc>
        <w:tc>
          <w:tcPr>
            <w:tcW w:w="1740" w:type="dxa"/>
            <w:vAlign w:val="center"/>
          </w:tcPr>
          <w:p w14:paraId="6107AB24" w14:textId="320763C7"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7E3D7FC8" w14:textId="1BD413C6" w:rsidR="003857BB" w:rsidRPr="00610F28" w:rsidRDefault="003857BB" w:rsidP="003857BB">
            <w:pPr>
              <w:rPr>
                <w:rFonts w:ascii="Calibri" w:hAnsi="Calibri" w:cs="Calibri"/>
              </w:rPr>
            </w:pPr>
          </w:p>
        </w:tc>
      </w:tr>
      <w:tr w:rsidR="003857BB" w:rsidRPr="00610F28" w14:paraId="4434A7A1" w14:textId="77777777" w:rsidTr="5F516881">
        <w:trPr>
          <w:trHeight w:val="22"/>
        </w:trPr>
        <w:tc>
          <w:tcPr>
            <w:tcW w:w="1066" w:type="dxa"/>
            <w:vAlign w:val="center"/>
          </w:tcPr>
          <w:p w14:paraId="2001C01E" w14:textId="18CAF5C7" w:rsidR="003857BB" w:rsidRPr="00610F28" w:rsidRDefault="003857BB" w:rsidP="003857BB">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3857BB" w:rsidRPr="00610F28" w:rsidRDefault="003857BB" w:rsidP="003857BB">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3857BB" w:rsidRPr="00610F28" w:rsidRDefault="003857BB" w:rsidP="003857BB">
            <w:pPr>
              <w:rPr>
                <w:rFonts w:ascii="Calibri" w:hAnsi="Calibri" w:cs="Calibri"/>
              </w:rPr>
            </w:pPr>
          </w:p>
        </w:tc>
        <w:tc>
          <w:tcPr>
            <w:tcW w:w="1740" w:type="dxa"/>
            <w:vAlign w:val="center"/>
          </w:tcPr>
          <w:p w14:paraId="29053DC2" w14:textId="6E54D209" w:rsidR="003857BB" w:rsidRPr="00610F28" w:rsidRDefault="003857BB" w:rsidP="003857BB">
            <w:pPr>
              <w:rPr>
                <w:rFonts w:ascii="Calibri" w:hAnsi="Calibri" w:cs="Calibri"/>
              </w:rPr>
            </w:pPr>
          </w:p>
        </w:tc>
        <w:tc>
          <w:tcPr>
            <w:tcW w:w="1740" w:type="dxa"/>
            <w:vAlign w:val="center"/>
          </w:tcPr>
          <w:p w14:paraId="491EF89E" w14:textId="470A923D" w:rsidR="003857BB" w:rsidRPr="00610F28" w:rsidRDefault="007C6423" w:rsidP="003857BB">
            <w:pPr>
              <w:rPr>
                <w:rFonts w:ascii="Calibri" w:hAnsi="Calibri" w:cs="Calibri"/>
              </w:rPr>
            </w:pPr>
            <w:r>
              <w:rPr>
                <w:rFonts w:ascii="Calibri" w:hAnsi="Calibri" w:cs="Calibri"/>
              </w:rPr>
              <w:t>X</w:t>
            </w:r>
          </w:p>
        </w:tc>
      </w:tr>
      <w:tr w:rsidR="003857BB" w:rsidRPr="00610F28" w14:paraId="461D3680" w14:textId="77777777" w:rsidTr="5F516881">
        <w:trPr>
          <w:trHeight w:val="22"/>
        </w:trPr>
        <w:tc>
          <w:tcPr>
            <w:tcW w:w="1066" w:type="dxa"/>
            <w:vAlign w:val="center"/>
          </w:tcPr>
          <w:p w14:paraId="330FAA59" w14:textId="649BFE7A" w:rsidR="003857BB" w:rsidRPr="00610F28" w:rsidRDefault="003857BB" w:rsidP="003857BB">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3857BB" w:rsidRPr="00610F28" w:rsidRDefault="003857BB" w:rsidP="003857BB">
            <w:pPr>
              <w:rPr>
                <w:rFonts w:ascii="Calibri" w:hAnsi="Calibri" w:cs="Calibri"/>
              </w:rPr>
            </w:pPr>
            <w:r w:rsidRPr="00610F28">
              <w:rPr>
                <w:rFonts w:ascii="Calibri" w:hAnsi="Calibri" w:cs="Calibri"/>
              </w:rPr>
              <w:t>Construction</w:t>
            </w:r>
          </w:p>
        </w:tc>
        <w:tc>
          <w:tcPr>
            <w:tcW w:w="1740" w:type="dxa"/>
            <w:vAlign w:val="center"/>
          </w:tcPr>
          <w:p w14:paraId="54461680" w14:textId="073917A5" w:rsidR="003857BB" w:rsidRPr="00610F28" w:rsidRDefault="002E30C4" w:rsidP="003857BB">
            <w:pPr>
              <w:rPr>
                <w:rFonts w:ascii="Calibri" w:hAnsi="Calibri" w:cs="Calibri"/>
              </w:rPr>
            </w:pPr>
            <w:r w:rsidRPr="6CF52AA9">
              <w:rPr>
                <w:rFonts w:ascii="Calibri" w:hAnsi="Calibri" w:cs="Calibri"/>
              </w:rPr>
              <w:t>X</w:t>
            </w:r>
          </w:p>
        </w:tc>
        <w:tc>
          <w:tcPr>
            <w:tcW w:w="1740" w:type="dxa"/>
            <w:vAlign w:val="center"/>
          </w:tcPr>
          <w:p w14:paraId="1FDA13D4" w14:textId="77777777" w:rsidR="003857BB" w:rsidRPr="00610F28" w:rsidRDefault="003857BB" w:rsidP="003857BB">
            <w:pPr>
              <w:rPr>
                <w:rFonts w:ascii="Calibri" w:hAnsi="Calibri" w:cs="Calibri"/>
              </w:rPr>
            </w:pPr>
          </w:p>
        </w:tc>
        <w:tc>
          <w:tcPr>
            <w:tcW w:w="1740" w:type="dxa"/>
            <w:vAlign w:val="center"/>
          </w:tcPr>
          <w:p w14:paraId="0C377201" w14:textId="77777777" w:rsidR="003857BB" w:rsidRPr="00610F28" w:rsidRDefault="003857BB" w:rsidP="003857BB">
            <w:pPr>
              <w:rPr>
                <w:rFonts w:ascii="Calibri" w:hAnsi="Calibri" w:cs="Calibri"/>
              </w:rPr>
            </w:pPr>
          </w:p>
        </w:tc>
      </w:tr>
      <w:tr w:rsidR="003857BB" w:rsidRPr="00610F28" w14:paraId="4A12BCBF" w14:textId="77777777" w:rsidTr="5F516881">
        <w:trPr>
          <w:trHeight w:val="300"/>
        </w:trPr>
        <w:tc>
          <w:tcPr>
            <w:tcW w:w="1066" w:type="dxa"/>
            <w:vAlign w:val="center"/>
          </w:tcPr>
          <w:p w14:paraId="69C0B7CC" w14:textId="4E50969B" w:rsidR="003857BB" w:rsidRPr="00610F28" w:rsidRDefault="003857BB" w:rsidP="003857B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3857BB" w:rsidRPr="00B85248" w:rsidRDefault="003857BB" w:rsidP="003857BB">
            <w:pPr>
              <w:rPr>
                <w:rFonts w:ascii="Calibri" w:hAnsi="Calibri" w:cs="Calibri"/>
              </w:rPr>
            </w:pPr>
            <w:r w:rsidRPr="6CF52AA9">
              <w:rPr>
                <w:rFonts w:ascii="Calibri" w:hAnsi="Calibri" w:cs="Calibri"/>
              </w:rPr>
              <w:t>Wholesale and retail trade: repair of motor vehicles and motorcycles</w:t>
            </w:r>
          </w:p>
        </w:tc>
        <w:tc>
          <w:tcPr>
            <w:tcW w:w="1740" w:type="dxa"/>
            <w:vAlign w:val="center"/>
          </w:tcPr>
          <w:p w14:paraId="44E4C2B5" w14:textId="77777777" w:rsidR="003857BB" w:rsidRPr="00610F28" w:rsidRDefault="003857BB" w:rsidP="003857BB">
            <w:pPr>
              <w:rPr>
                <w:rFonts w:ascii="Calibri" w:hAnsi="Calibri" w:cs="Calibri"/>
              </w:rPr>
            </w:pPr>
          </w:p>
        </w:tc>
        <w:tc>
          <w:tcPr>
            <w:tcW w:w="1740" w:type="dxa"/>
            <w:vAlign w:val="center"/>
          </w:tcPr>
          <w:p w14:paraId="170E728C" w14:textId="73E5AB1D"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204D21B4" w14:textId="77777777" w:rsidR="003857BB" w:rsidRPr="00610F28" w:rsidRDefault="003857BB" w:rsidP="003857BB">
            <w:pPr>
              <w:rPr>
                <w:rFonts w:ascii="Calibri" w:hAnsi="Calibri" w:cs="Calibri"/>
              </w:rPr>
            </w:pPr>
          </w:p>
        </w:tc>
      </w:tr>
      <w:tr w:rsidR="003857BB" w:rsidRPr="00610F28" w14:paraId="626D25D9" w14:textId="77777777" w:rsidTr="5F516881">
        <w:trPr>
          <w:trHeight w:val="22"/>
        </w:trPr>
        <w:tc>
          <w:tcPr>
            <w:tcW w:w="1066" w:type="dxa"/>
            <w:vAlign w:val="center"/>
          </w:tcPr>
          <w:p w14:paraId="4BDFDABB" w14:textId="61EF635E" w:rsidR="003857BB" w:rsidRPr="00610F28" w:rsidRDefault="003857BB" w:rsidP="003857BB">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3857BB" w:rsidRPr="00610F28" w:rsidRDefault="003857BB" w:rsidP="003857BB">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3857BB" w:rsidRPr="00610F28" w:rsidRDefault="003857BB" w:rsidP="003857BB">
            <w:pPr>
              <w:rPr>
                <w:rFonts w:ascii="Calibri" w:hAnsi="Calibri" w:cs="Calibri"/>
              </w:rPr>
            </w:pPr>
          </w:p>
        </w:tc>
        <w:tc>
          <w:tcPr>
            <w:tcW w:w="1740" w:type="dxa"/>
            <w:vAlign w:val="center"/>
          </w:tcPr>
          <w:p w14:paraId="1CFD4FEE" w14:textId="759BBB58" w:rsidR="003857BB" w:rsidRPr="00610F28" w:rsidRDefault="003857BB" w:rsidP="003857BB">
            <w:pPr>
              <w:rPr>
                <w:rFonts w:ascii="Calibri" w:hAnsi="Calibri" w:cs="Calibri"/>
              </w:rPr>
            </w:pPr>
          </w:p>
        </w:tc>
        <w:tc>
          <w:tcPr>
            <w:tcW w:w="1740" w:type="dxa"/>
            <w:vAlign w:val="center"/>
          </w:tcPr>
          <w:p w14:paraId="3CF01BF4" w14:textId="726F047E" w:rsidR="003857BB" w:rsidRPr="00610F28" w:rsidRDefault="00263483" w:rsidP="003857BB">
            <w:pPr>
              <w:rPr>
                <w:rFonts w:ascii="Calibri" w:hAnsi="Calibri" w:cs="Calibri"/>
              </w:rPr>
            </w:pPr>
            <w:r>
              <w:rPr>
                <w:rFonts w:ascii="Calibri" w:hAnsi="Calibri" w:cs="Calibri"/>
              </w:rPr>
              <w:t>X</w:t>
            </w:r>
          </w:p>
        </w:tc>
      </w:tr>
      <w:tr w:rsidR="003857BB" w:rsidRPr="00610F28" w14:paraId="70DBECC9" w14:textId="77777777" w:rsidTr="5F516881">
        <w:trPr>
          <w:trHeight w:val="300"/>
        </w:trPr>
        <w:tc>
          <w:tcPr>
            <w:tcW w:w="1066" w:type="dxa"/>
            <w:vAlign w:val="center"/>
          </w:tcPr>
          <w:p w14:paraId="1051D73E" w14:textId="399F4998" w:rsidR="003857BB" w:rsidRPr="00610F28" w:rsidRDefault="003857BB" w:rsidP="003857BB">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3857BB" w:rsidRPr="00610F28" w:rsidRDefault="003857BB" w:rsidP="003857BB">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4393F795" w:rsidR="003857BB" w:rsidRPr="00610F28" w:rsidRDefault="003857BB" w:rsidP="003857BB">
            <w:pPr>
              <w:rPr>
                <w:rFonts w:ascii="Calibri" w:hAnsi="Calibri" w:cs="Calibri"/>
              </w:rPr>
            </w:pPr>
          </w:p>
        </w:tc>
        <w:tc>
          <w:tcPr>
            <w:tcW w:w="1740" w:type="dxa"/>
            <w:vAlign w:val="center"/>
          </w:tcPr>
          <w:p w14:paraId="19E44E71" w14:textId="2512F6B0"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66A20663" w14:textId="59236730" w:rsidR="003857BB" w:rsidRPr="00610F28" w:rsidRDefault="003857BB" w:rsidP="003857BB">
            <w:pPr>
              <w:rPr>
                <w:rFonts w:ascii="Calibri" w:hAnsi="Calibri" w:cs="Calibri"/>
              </w:rPr>
            </w:pPr>
          </w:p>
        </w:tc>
      </w:tr>
      <w:tr w:rsidR="003857BB" w:rsidRPr="00610F28" w14:paraId="4B8DB2C6" w14:textId="77777777" w:rsidTr="5F516881">
        <w:trPr>
          <w:trHeight w:val="22"/>
        </w:trPr>
        <w:tc>
          <w:tcPr>
            <w:tcW w:w="1066" w:type="dxa"/>
            <w:vAlign w:val="center"/>
          </w:tcPr>
          <w:p w14:paraId="4017DFA5" w14:textId="2B9D2EBB" w:rsidR="003857BB" w:rsidRPr="00610F28" w:rsidRDefault="003857BB" w:rsidP="003857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3857BB" w:rsidRPr="00610F28" w:rsidRDefault="003857BB" w:rsidP="003857BB">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3857BB" w:rsidRPr="00610F28" w:rsidRDefault="003857BB" w:rsidP="003857BB">
            <w:pPr>
              <w:rPr>
                <w:rFonts w:ascii="Calibri" w:hAnsi="Calibri" w:cs="Calibri"/>
              </w:rPr>
            </w:pPr>
          </w:p>
        </w:tc>
        <w:tc>
          <w:tcPr>
            <w:tcW w:w="1740" w:type="dxa"/>
            <w:vAlign w:val="center"/>
          </w:tcPr>
          <w:p w14:paraId="35075B9C" w14:textId="7B990872" w:rsidR="003857BB" w:rsidRPr="00610F28" w:rsidRDefault="003857BB" w:rsidP="003857BB">
            <w:pPr>
              <w:rPr>
                <w:rFonts w:ascii="Calibri" w:hAnsi="Calibri" w:cs="Calibri"/>
              </w:rPr>
            </w:pPr>
          </w:p>
        </w:tc>
        <w:tc>
          <w:tcPr>
            <w:tcW w:w="1740" w:type="dxa"/>
            <w:vAlign w:val="center"/>
          </w:tcPr>
          <w:p w14:paraId="76523A26" w14:textId="38E5F8E6" w:rsidR="003857BB" w:rsidRPr="00610F28" w:rsidRDefault="007C6423" w:rsidP="003857BB">
            <w:pPr>
              <w:rPr>
                <w:rFonts w:ascii="Calibri" w:hAnsi="Calibri" w:cs="Calibri"/>
              </w:rPr>
            </w:pPr>
            <w:r>
              <w:rPr>
                <w:rFonts w:ascii="Calibri" w:hAnsi="Calibri" w:cs="Calibri"/>
              </w:rPr>
              <w:t>X</w:t>
            </w:r>
          </w:p>
        </w:tc>
      </w:tr>
      <w:tr w:rsidR="003857BB" w:rsidRPr="00610F28" w14:paraId="5CB86BD2" w14:textId="77777777" w:rsidTr="5F516881">
        <w:trPr>
          <w:trHeight w:val="300"/>
        </w:trPr>
        <w:tc>
          <w:tcPr>
            <w:tcW w:w="1066" w:type="dxa"/>
            <w:vAlign w:val="center"/>
          </w:tcPr>
          <w:p w14:paraId="16103039" w14:textId="62F74BC3" w:rsidR="003857BB" w:rsidRPr="00610F28" w:rsidRDefault="003857BB" w:rsidP="003857BB">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3857BB" w:rsidRPr="00610F28" w:rsidRDefault="003857BB" w:rsidP="003857BB">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3857BB" w:rsidRPr="00610F28" w:rsidRDefault="003857BB" w:rsidP="003857BB">
            <w:pPr>
              <w:rPr>
                <w:rFonts w:ascii="Calibri" w:hAnsi="Calibri" w:cs="Calibri"/>
              </w:rPr>
            </w:pPr>
          </w:p>
        </w:tc>
        <w:tc>
          <w:tcPr>
            <w:tcW w:w="1740" w:type="dxa"/>
            <w:vAlign w:val="center"/>
          </w:tcPr>
          <w:p w14:paraId="18F8F3AB" w14:textId="6D8A3FAF"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21A89DBF" w14:textId="63095CC6" w:rsidR="003857BB" w:rsidRPr="00610F28" w:rsidRDefault="003857BB" w:rsidP="003857BB">
            <w:pPr>
              <w:rPr>
                <w:rFonts w:ascii="Calibri" w:hAnsi="Calibri" w:cs="Calibri"/>
              </w:rPr>
            </w:pPr>
          </w:p>
        </w:tc>
      </w:tr>
      <w:tr w:rsidR="003857BB" w:rsidRPr="00610F28" w14:paraId="428C71BA" w14:textId="77777777" w:rsidTr="5F516881">
        <w:trPr>
          <w:trHeight w:val="300"/>
        </w:trPr>
        <w:tc>
          <w:tcPr>
            <w:tcW w:w="1066" w:type="dxa"/>
            <w:vAlign w:val="center"/>
          </w:tcPr>
          <w:p w14:paraId="2A0D436A" w14:textId="14B9F8B8" w:rsidR="003857BB" w:rsidRPr="00610F28" w:rsidRDefault="003857BB" w:rsidP="003857BB">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5BF4A5EC" w:rsidR="003857BB" w:rsidRPr="00610F28" w:rsidRDefault="003857BB" w:rsidP="003857BB">
            <w:pPr>
              <w:rPr>
                <w:rFonts w:ascii="Calibri" w:hAnsi="Calibri" w:cs="Calibri"/>
              </w:rPr>
            </w:pPr>
            <w:r w:rsidRPr="00610F28">
              <w:rPr>
                <w:rFonts w:ascii="Calibri" w:hAnsi="Calibri" w:cs="Calibri"/>
              </w:rPr>
              <w:t>Real estate activitie</w:t>
            </w:r>
            <w:r w:rsidR="00BD5C24">
              <w:rPr>
                <w:rFonts w:ascii="Calibri" w:hAnsi="Calibri" w:cs="Calibri"/>
              </w:rPr>
              <w:t>s</w:t>
            </w:r>
          </w:p>
        </w:tc>
        <w:tc>
          <w:tcPr>
            <w:tcW w:w="1740" w:type="dxa"/>
            <w:vAlign w:val="center"/>
          </w:tcPr>
          <w:p w14:paraId="7F316A1A" w14:textId="42EEF54A" w:rsidR="003857BB" w:rsidRPr="00610F28" w:rsidRDefault="003857BB" w:rsidP="003857BB">
            <w:pPr>
              <w:rPr>
                <w:rFonts w:ascii="Calibri" w:hAnsi="Calibri" w:cs="Calibri"/>
              </w:rPr>
            </w:pPr>
          </w:p>
        </w:tc>
        <w:tc>
          <w:tcPr>
            <w:tcW w:w="1740" w:type="dxa"/>
            <w:vAlign w:val="center"/>
          </w:tcPr>
          <w:p w14:paraId="25C06AB9" w14:textId="77777777" w:rsidR="003857BB" w:rsidRPr="00610F28" w:rsidRDefault="003857BB" w:rsidP="003857BB">
            <w:pPr>
              <w:rPr>
                <w:rFonts w:ascii="Calibri" w:hAnsi="Calibri" w:cs="Calibri"/>
              </w:rPr>
            </w:pPr>
          </w:p>
        </w:tc>
        <w:tc>
          <w:tcPr>
            <w:tcW w:w="1740" w:type="dxa"/>
            <w:vAlign w:val="center"/>
          </w:tcPr>
          <w:p w14:paraId="61CAF7AC" w14:textId="79390D7D" w:rsidR="003857BB" w:rsidRPr="00610F28" w:rsidRDefault="003857BB" w:rsidP="003857BB">
            <w:pPr>
              <w:rPr>
                <w:rFonts w:ascii="Calibri" w:hAnsi="Calibri" w:cs="Calibri"/>
              </w:rPr>
            </w:pPr>
          </w:p>
        </w:tc>
      </w:tr>
      <w:tr w:rsidR="003857BB" w:rsidRPr="00610F28" w14:paraId="0D16D18A" w14:textId="77777777" w:rsidTr="5F516881">
        <w:trPr>
          <w:trHeight w:val="300"/>
        </w:trPr>
        <w:tc>
          <w:tcPr>
            <w:tcW w:w="1066" w:type="dxa"/>
            <w:vAlign w:val="center"/>
          </w:tcPr>
          <w:p w14:paraId="20F3CA28" w14:textId="4CBBAACE" w:rsidR="003857BB" w:rsidRPr="00610F28" w:rsidRDefault="003857BB" w:rsidP="003857BB">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3857BB" w:rsidRPr="00610F28" w:rsidRDefault="003857BB" w:rsidP="003857BB">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4DC65925" w:rsidR="003857BB" w:rsidRPr="00610F28" w:rsidRDefault="00001D71" w:rsidP="003857BB">
            <w:pPr>
              <w:rPr>
                <w:rFonts w:ascii="Calibri" w:hAnsi="Calibri" w:cs="Calibri"/>
              </w:rPr>
            </w:pPr>
            <w:r>
              <w:rPr>
                <w:rFonts w:ascii="Calibri" w:hAnsi="Calibri" w:cs="Calibri"/>
              </w:rPr>
              <w:t>X</w:t>
            </w:r>
          </w:p>
        </w:tc>
        <w:tc>
          <w:tcPr>
            <w:tcW w:w="1740" w:type="dxa"/>
            <w:vAlign w:val="center"/>
          </w:tcPr>
          <w:p w14:paraId="0764CDCB" w14:textId="77777777" w:rsidR="003857BB" w:rsidRPr="00610F28" w:rsidRDefault="003857BB" w:rsidP="003857BB">
            <w:pPr>
              <w:rPr>
                <w:rFonts w:ascii="Calibri" w:hAnsi="Calibri" w:cs="Calibri"/>
              </w:rPr>
            </w:pPr>
          </w:p>
        </w:tc>
        <w:tc>
          <w:tcPr>
            <w:tcW w:w="1740" w:type="dxa"/>
            <w:vAlign w:val="center"/>
          </w:tcPr>
          <w:p w14:paraId="413799DF" w14:textId="77777777" w:rsidR="003857BB" w:rsidRPr="00610F28" w:rsidRDefault="003857BB" w:rsidP="003857BB">
            <w:pPr>
              <w:rPr>
                <w:rFonts w:ascii="Calibri" w:hAnsi="Calibri" w:cs="Calibri"/>
              </w:rPr>
            </w:pPr>
          </w:p>
        </w:tc>
      </w:tr>
      <w:tr w:rsidR="003857BB" w:rsidRPr="00610F28" w14:paraId="7A988747" w14:textId="77777777" w:rsidTr="5F516881">
        <w:trPr>
          <w:trHeight w:val="300"/>
        </w:trPr>
        <w:tc>
          <w:tcPr>
            <w:tcW w:w="1066" w:type="dxa"/>
            <w:vAlign w:val="center"/>
          </w:tcPr>
          <w:p w14:paraId="3F714039" w14:textId="43DC251F" w:rsidR="003857BB" w:rsidRPr="00610F28" w:rsidRDefault="003857BB" w:rsidP="003857BB">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3857BB" w:rsidRPr="00610F28" w:rsidRDefault="003857BB" w:rsidP="003857BB">
            <w:pPr>
              <w:rPr>
                <w:rFonts w:ascii="Calibri" w:hAnsi="Calibri" w:cs="Calibri"/>
              </w:rPr>
            </w:pPr>
            <w:r w:rsidRPr="6CF52AA9">
              <w:rPr>
                <w:rFonts w:ascii="Calibri" w:hAnsi="Calibri" w:cs="Calibri"/>
              </w:rPr>
              <w:t>Administrative and support service activities</w:t>
            </w:r>
          </w:p>
        </w:tc>
        <w:tc>
          <w:tcPr>
            <w:tcW w:w="1740" w:type="dxa"/>
            <w:vAlign w:val="center"/>
          </w:tcPr>
          <w:p w14:paraId="4A69065A" w14:textId="7CFEDD09" w:rsidR="003857BB" w:rsidRPr="00610F28" w:rsidRDefault="003857BB" w:rsidP="003857BB">
            <w:pPr>
              <w:rPr>
                <w:rFonts w:ascii="Calibri" w:hAnsi="Calibri" w:cs="Calibri"/>
              </w:rPr>
            </w:pPr>
          </w:p>
        </w:tc>
        <w:tc>
          <w:tcPr>
            <w:tcW w:w="1740" w:type="dxa"/>
            <w:vAlign w:val="center"/>
          </w:tcPr>
          <w:p w14:paraId="3A257DCB" w14:textId="1CC77464"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4B579915" w14:textId="77777777" w:rsidR="003857BB" w:rsidRPr="00610F28" w:rsidRDefault="003857BB" w:rsidP="003857BB">
            <w:pPr>
              <w:rPr>
                <w:rFonts w:ascii="Calibri" w:hAnsi="Calibri" w:cs="Calibri"/>
              </w:rPr>
            </w:pPr>
          </w:p>
        </w:tc>
      </w:tr>
      <w:tr w:rsidR="003857BB" w:rsidRPr="00610F28" w14:paraId="4EB09B84" w14:textId="77777777" w:rsidTr="5F516881">
        <w:trPr>
          <w:trHeight w:val="300"/>
        </w:trPr>
        <w:tc>
          <w:tcPr>
            <w:tcW w:w="1066" w:type="dxa"/>
            <w:vAlign w:val="center"/>
          </w:tcPr>
          <w:p w14:paraId="488AA807" w14:textId="7C509221" w:rsidR="003857BB" w:rsidRPr="00610F28" w:rsidRDefault="003857BB" w:rsidP="003857BB">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3857BB" w:rsidRPr="00610F28" w:rsidRDefault="003857BB" w:rsidP="003857BB">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4AC4E9EF" w:rsidR="003857BB" w:rsidRPr="00610F28" w:rsidRDefault="006D5D86" w:rsidP="003857BB">
            <w:pPr>
              <w:rPr>
                <w:rFonts w:ascii="Calibri" w:hAnsi="Calibri" w:cs="Calibri"/>
              </w:rPr>
            </w:pPr>
            <w:r>
              <w:rPr>
                <w:rFonts w:ascii="Calibri" w:hAnsi="Calibri" w:cs="Calibri"/>
              </w:rPr>
              <w:t>X</w:t>
            </w:r>
          </w:p>
        </w:tc>
        <w:tc>
          <w:tcPr>
            <w:tcW w:w="1740" w:type="dxa"/>
            <w:vAlign w:val="center"/>
          </w:tcPr>
          <w:p w14:paraId="739A8F80" w14:textId="77777777" w:rsidR="003857BB" w:rsidRPr="00610F28" w:rsidRDefault="003857BB" w:rsidP="003857BB">
            <w:pPr>
              <w:rPr>
                <w:rFonts w:ascii="Calibri" w:hAnsi="Calibri" w:cs="Calibri"/>
              </w:rPr>
            </w:pPr>
          </w:p>
        </w:tc>
        <w:tc>
          <w:tcPr>
            <w:tcW w:w="1740" w:type="dxa"/>
            <w:vAlign w:val="center"/>
          </w:tcPr>
          <w:p w14:paraId="0B8028F9" w14:textId="77777777" w:rsidR="003857BB" w:rsidRPr="00610F28" w:rsidRDefault="003857BB" w:rsidP="003857BB">
            <w:pPr>
              <w:rPr>
                <w:rFonts w:ascii="Calibri" w:hAnsi="Calibri" w:cs="Calibri"/>
              </w:rPr>
            </w:pPr>
          </w:p>
        </w:tc>
      </w:tr>
      <w:tr w:rsidR="003857BB" w:rsidRPr="00610F28" w14:paraId="74CA02B6" w14:textId="77777777" w:rsidTr="5F516881">
        <w:trPr>
          <w:trHeight w:val="300"/>
        </w:trPr>
        <w:tc>
          <w:tcPr>
            <w:tcW w:w="1066" w:type="dxa"/>
            <w:vAlign w:val="center"/>
          </w:tcPr>
          <w:p w14:paraId="684B0698" w14:textId="327755EC" w:rsidR="003857BB" w:rsidRPr="00610F28" w:rsidRDefault="003857BB" w:rsidP="003857BB">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3857BB" w:rsidRPr="00610F28" w:rsidRDefault="003857BB" w:rsidP="003857BB">
            <w:pPr>
              <w:rPr>
                <w:rFonts w:ascii="Calibri" w:hAnsi="Calibri" w:cs="Calibri"/>
              </w:rPr>
            </w:pPr>
            <w:r w:rsidRPr="00610F28">
              <w:rPr>
                <w:rFonts w:ascii="Calibri" w:hAnsi="Calibri" w:cs="Calibri"/>
              </w:rPr>
              <w:t>Education</w:t>
            </w:r>
          </w:p>
        </w:tc>
        <w:tc>
          <w:tcPr>
            <w:tcW w:w="1740" w:type="dxa"/>
            <w:vAlign w:val="center"/>
          </w:tcPr>
          <w:p w14:paraId="04F0D973" w14:textId="3E237038" w:rsidR="003857BB" w:rsidRPr="00610F28" w:rsidRDefault="00446EC4" w:rsidP="003857BB">
            <w:pPr>
              <w:rPr>
                <w:rFonts w:ascii="Calibri" w:hAnsi="Calibri" w:cs="Calibri"/>
              </w:rPr>
            </w:pPr>
            <w:r>
              <w:rPr>
                <w:rFonts w:ascii="Calibri" w:hAnsi="Calibri" w:cs="Calibri"/>
              </w:rPr>
              <w:t>X</w:t>
            </w:r>
          </w:p>
        </w:tc>
        <w:tc>
          <w:tcPr>
            <w:tcW w:w="1740" w:type="dxa"/>
            <w:vAlign w:val="center"/>
          </w:tcPr>
          <w:p w14:paraId="26D2B292" w14:textId="77777777" w:rsidR="003857BB" w:rsidRPr="00610F28" w:rsidRDefault="003857BB" w:rsidP="003857BB">
            <w:pPr>
              <w:rPr>
                <w:rFonts w:ascii="Calibri" w:hAnsi="Calibri" w:cs="Calibri"/>
              </w:rPr>
            </w:pPr>
          </w:p>
        </w:tc>
        <w:tc>
          <w:tcPr>
            <w:tcW w:w="1740" w:type="dxa"/>
            <w:vAlign w:val="center"/>
          </w:tcPr>
          <w:p w14:paraId="7C1961CD" w14:textId="77777777" w:rsidR="003857BB" w:rsidRPr="00610F28" w:rsidRDefault="003857BB" w:rsidP="003857BB">
            <w:pPr>
              <w:rPr>
                <w:rFonts w:ascii="Calibri" w:hAnsi="Calibri" w:cs="Calibri"/>
              </w:rPr>
            </w:pPr>
          </w:p>
        </w:tc>
      </w:tr>
      <w:tr w:rsidR="003857BB" w:rsidRPr="00610F28" w14:paraId="212B4B71" w14:textId="77777777" w:rsidTr="5F516881">
        <w:trPr>
          <w:trHeight w:val="300"/>
        </w:trPr>
        <w:tc>
          <w:tcPr>
            <w:tcW w:w="1066" w:type="dxa"/>
            <w:vAlign w:val="center"/>
          </w:tcPr>
          <w:p w14:paraId="04D6E918" w14:textId="4E7E8673" w:rsidR="003857BB" w:rsidRPr="00610F28" w:rsidRDefault="003857BB" w:rsidP="003857BB">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3857BB" w:rsidRPr="00610F28" w:rsidRDefault="003857BB" w:rsidP="003857BB">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537D779D" w:rsidR="003857BB" w:rsidRPr="00610F28" w:rsidRDefault="005B21DA" w:rsidP="003857BB">
            <w:pPr>
              <w:rPr>
                <w:rFonts w:ascii="Calibri" w:hAnsi="Calibri" w:cs="Calibri"/>
              </w:rPr>
            </w:pPr>
            <w:r>
              <w:rPr>
                <w:rFonts w:ascii="Calibri" w:hAnsi="Calibri" w:cs="Calibri"/>
              </w:rPr>
              <w:t>X</w:t>
            </w:r>
          </w:p>
        </w:tc>
        <w:tc>
          <w:tcPr>
            <w:tcW w:w="1740" w:type="dxa"/>
            <w:vAlign w:val="center"/>
          </w:tcPr>
          <w:p w14:paraId="7213983B" w14:textId="77777777" w:rsidR="003857BB" w:rsidRPr="00610F28" w:rsidRDefault="003857BB" w:rsidP="003857BB">
            <w:pPr>
              <w:rPr>
                <w:rFonts w:ascii="Calibri" w:hAnsi="Calibri" w:cs="Calibri"/>
              </w:rPr>
            </w:pPr>
          </w:p>
        </w:tc>
        <w:tc>
          <w:tcPr>
            <w:tcW w:w="1740" w:type="dxa"/>
            <w:vAlign w:val="center"/>
          </w:tcPr>
          <w:p w14:paraId="74C41374" w14:textId="77777777" w:rsidR="003857BB" w:rsidRPr="00610F28" w:rsidRDefault="003857BB" w:rsidP="003857BB">
            <w:pPr>
              <w:rPr>
                <w:rFonts w:ascii="Calibri" w:hAnsi="Calibri" w:cs="Calibri"/>
              </w:rPr>
            </w:pPr>
          </w:p>
        </w:tc>
      </w:tr>
      <w:tr w:rsidR="003857BB" w:rsidRPr="00610F28" w14:paraId="0E07F926" w14:textId="77777777" w:rsidTr="5F516881">
        <w:trPr>
          <w:trHeight w:val="300"/>
        </w:trPr>
        <w:tc>
          <w:tcPr>
            <w:tcW w:w="1066" w:type="dxa"/>
            <w:vAlign w:val="center"/>
          </w:tcPr>
          <w:p w14:paraId="14FA0319" w14:textId="707FBFC2" w:rsidR="003857BB" w:rsidRPr="00610F28" w:rsidRDefault="003857BB" w:rsidP="003857BB">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3857BB" w:rsidRPr="00610F28" w:rsidRDefault="003857BB" w:rsidP="003857BB">
            <w:pPr>
              <w:rPr>
                <w:rFonts w:ascii="Calibri" w:hAnsi="Calibri" w:cs="Calibri"/>
              </w:rPr>
            </w:pPr>
            <w:r w:rsidRPr="00610F28">
              <w:rPr>
                <w:rFonts w:ascii="Calibri" w:hAnsi="Calibri" w:cs="Calibri"/>
              </w:rPr>
              <w:t>Arts, entertainment and recreation</w:t>
            </w:r>
          </w:p>
        </w:tc>
        <w:tc>
          <w:tcPr>
            <w:tcW w:w="1740" w:type="dxa"/>
            <w:vAlign w:val="center"/>
          </w:tcPr>
          <w:p w14:paraId="2B7999E3" w14:textId="2149DC92" w:rsidR="003857BB" w:rsidRPr="00610F28" w:rsidRDefault="001D7A75" w:rsidP="003857BB">
            <w:pPr>
              <w:rPr>
                <w:rFonts w:ascii="Calibri" w:hAnsi="Calibri" w:cs="Calibri"/>
              </w:rPr>
            </w:pPr>
            <w:r>
              <w:rPr>
                <w:rFonts w:ascii="Calibri" w:hAnsi="Calibri" w:cs="Calibri"/>
              </w:rPr>
              <w:t>X</w:t>
            </w:r>
          </w:p>
        </w:tc>
        <w:tc>
          <w:tcPr>
            <w:tcW w:w="1740" w:type="dxa"/>
            <w:vAlign w:val="center"/>
          </w:tcPr>
          <w:p w14:paraId="73117613" w14:textId="77777777" w:rsidR="003857BB" w:rsidRPr="00610F28" w:rsidRDefault="003857BB" w:rsidP="003857BB">
            <w:pPr>
              <w:rPr>
                <w:rFonts w:ascii="Calibri" w:hAnsi="Calibri" w:cs="Calibri"/>
              </w:rPr>
            </w:pPr>
          </w:p>
        </w:tc>
        <w:tc>
          <w:tcPr>
            <w:tcW w:w="1740" w:type="dxa"/>
            <w:vAlign w:val="center"/>
          </w:tcPr>
          <w:p w14:paraId="7FEBA438" w14:textId="77777777" w:rsidR="003857BB" w:rsidRPr="00610F28" w:rsidRDefault="003857BB" w:rsidP="003857BB">
            <w:pPr>
              <w:rPr>
                <w:rFonts w:ascii="Calibri" w:hAnsi="Calibri" w:cs="Calibri"/>
              </w:rPr>
            </w:pPr>
          </w:p>
        </w:tc>
      </w:tr>
      <w:tr w:rsidR="003857BB" w:rsidRPr="00610F28" w14:paraId="56545222" w14:textId="77777777" w:rsidTr="5F516881">
        <w:trPr>
          <w:trHeight w:val="300"/>
        </w:trPr>
        <w:tc>
          <w:tcPr>
            <w:tcW w:w="1066" w:type="dxa"/>
            <w:vAlign w:val="center"/>
          </w:tcPr>
          <w:p w14:paraId="62EDE392" w14:textId="3C88940C" w:rsidR="003857BB" w:rsidRPr="00610F28" w:rsidRDefault="003857BB" w:rsidP="003857BB">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3857BB" w:rsidRPr="00610F28" w:rsidRDefault="003857BB" w:rsidP="003857BB">
            <w:pPr>
              <w:rPr>
                <w:rFonts w:ascii="Calibri" w:hAnsi="Calibri" w:cs="Calibri"/>
              </w:rPr>
            </w:pPr>
            <w:r w:rsidRPr="00610F28">
              <w:rPr>
                <w:rFonts w:ascii="Calibri" w:hAnsi="Calibri" w:cs="Calibri"/>
              </w:rPr>
              <w:t>Other service activities</w:t>
            </w:r>
          </w:p>
        </w:tc>
        <w:tc>
          <w:tcPr>
            <w:tcW w:w="1740" w:type="dxa"/>
            <w:vAlign w:val="center"/>
          </w:tcPr>
          <w:p w14:paraId="4A8F61D9" w14:textId="299F816A" w:rsidR="003857BB" w:rsidRPr="00610F28" w:rsidRDefault="001D7A75" w:rsidP="003857BB">
            <w:pPr>
              <w:rPr>
                <w:rFonts w:ascii="Calibri" w:hAnsi="Calibri" w:cs="Calibri"/>
              </w:rPr>
            </w:pPr>
            <w:r>
              <w:rPr>
                <w:rFonts w:ascii="Calibri" w:hAnsi="Calibri" w:cs="Calibri"/>
              </w:rPr>
              <w:t>X</w:t>
            </w:r>
          </w:p>
        </w:tc>
        <w:tc>
          <w:tcPr>
            <w:tcW w:w="1740" w:type="dxa"/>
            <w:vAlign w:val="center"/>
          </w:tcPr>
          <w:p w14:paraId="79A99825" w14:textId="77777777" w:rsidR="003857BB" w:rsidRPr="00610F28" w:rsidRDefault="003857BB" w:rsidP="003857BB">
            <w:pPr>
              <w:rPr>
                <w:rFonts w:ascii="Calibri" w:hAnsi="Calibri" w:cs="Calibri"/>
              </w:rPr>
            </w:pPr>
          </w:p>
        </w:tc>
        <w:tc>
          <w:tcPr>
            <w:tcW w:w="1740" w:type="dxa"/>
            <w:vAlign w:val="center"/>
          </w:tcPr>
          <w:p w14:paraId="7A3ECD3B" w14:textId="77777777" w:rsidR="003857BB" w:rsidRPr="00610F28" w:rsidRDefault="003857BB" w:rsidP="003857BB">
            <w:pPr>
              <w:rPr>
                <w:rFonts w:ascii="Calibri" w:hAnsi="Calibri" w:cs="Calibri"/>
              </w:rPr>
            </w:pPr>
          </w:p>
        </w:tc>
      </w:tr>
      <w:tr w:rsidR="003857BB" w:rsidRPr="00610F28" w14:paraId="50E03E90" w14:textId="77777777" w:rsidTr="5F516881">
        <w:trPr>
          <w:trHeight w:val="300"/>
        </w:trPr>
        <w:tc>
          <w:tcPr>
            <w:tcW w:w="1066" w:type="dxa"/>
            <w:vAlign w:val="center"/>
          </w:tcPr>
          <w:p w14:paraId="7BDFCC5F" w14:textId="264751DE" w:rsidR="003857BB" w:rsidRPr="00610F28" w:rsidRDefault="003857BB" w:rsidP="003857BB">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3857BB" w:rsidRPr="00610F28" w:rsidRDefault="003857BB" w:rsidP="003857BB">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3C047C95" w:rsidR="003857BB" w:rsidRPr="00610F28" w:rsidRDefault="0004023E" w:rsidP="003857BB">
            <w:pPr>
              <w:rPr>
                <w:rFonts w:ascii="Calibri" w:hAnsi="Calibri" w:cs="Calibri"/>
              </w:rPr>
            </w:pPr>
            <w:r>
              <w:rPr>
                <w:rFonts w:ascii="Calibri" w:hAnsi="Calibri" w:cs="Calibri"/>
              </w:rPr>
              <w:t>X</w:t>
            </w:r>
          </w:p>
        </w:tc>
        <w:tc>
          <w:tcPr>
            <w:tcW w:w="1740" w:type="dxa"/>
            <w:vAlign w:val="center"/>
          </w:tcPr>
          <w:p w14:paraId="3D5E9C19" w14:textId="77777777" w:rsidR="003857BB" w:rsidRPr="00610F28" w:rsidRDefault="003857BB" w:rsidP="003857BB">
            <w:pPr>
              <w:rPr>
                <w:rFonts w:ascii="Calibri" w:hAnsi="Calibri" w:cs="Calibri"/>
              </w:rPr>
            </w:pPr>
          </w:p>
        </w:tc>
        <w:tc>
          <w:tcPr>
            <w:tcW w:w="1740" w:type="dxa"/>
            <w:vAlign w:val="center"/>
          </w:tcPr>
          <w:p w14:paraId="7197352F" w14:textId="77777777" w:rsidR="003857BB" w:rsidRPr="00610F28" w:rsidRDefault="003857BB" w:rsidP="003857BB">
            <w:pPr>
              <w:rPr>
                <w:rFonts w:ascii="Calibri" w:hAnsi="Calibri" w:cs="Calibri"/>
              </w:rPr>
            </w:pPr>
          </w:p>
        </w:tc>
      </w:tr>
      <w:tr w:rsidR="003857BB" w:rsidRPr="00610F28" w14:paraId="08C1CEFE" w14:textId="77777777" w:rsidTr="5F516881">
        <w:trPr>
          <w:trHeight w:val="300"/>
        </w:trPr>
        <w:tc>
          <w:tcPr>
            <w:tcW w:w="1066" w:type="dxa"/>
            <w:vAlign w:val="center"/>
          </w:tcPr>
          <w:p w14:paraId="45CD0922" w14:textId="04648754" w:rsidR="003857BB" w:rsidRPr="00610F28" w:rsidRDefault="003857BB" w:rsidP="003857BB">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3857BB" w:rsidRPr="00610F28" w:rsidRDefault="003857BB" w:rsidP="003857BB">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3857BB" w:rsidRPr="00610F28" w:rsidRDefault="003857BB" w:rsidP="003857BB">
            <w:pPr>
              <w:rPr>
                <w:rFonts w:ascii="Calibri" w:hAnsi="Calibri" w:cs="Calibri"/>
              </w:rPr>
            </w:pPr>
          </w:p>
        </w:tc>
        <w:tc>
          <w:tcPr>
            <w:tcW w:w="1740" w:type="dxa"/>
            <w:vAlign w:val="center"/>
          </w:tcPr>
          <w:p w14:paraId="7D893122" w14:textId="2AC8DD19" w:rsidR="003857BB" w:rsidRPr="00610F28" w:rsidRDefault="00B67DC4" w:rsidP="003857BB">
            <w:pPr>
              <w:rPr>
                <w:rFonts w:ascii="Calibri" w:hAnsi="Calibri" w:cs="Calibri"/>
              </w:rPr>
            </w:pPr>
            <w:r>
              <w:rPr>
                <w:rFonts w:ascii="Calibri" w:hAnsi="Calibri" w:cs="Calibri"/>
              </w:rPr>
              <w:t>X</w:t>
            </w:r>
          </w:p>
        </w:tc>
        <w:tc>
          <w:tcPr>
            <w:tcW w:w="1740" w:type="dxa"/>
            <w:vAlign w:val="center"/>
          </w:tcPr>
          <w:p w14:paraId="132EE2DC" w14:textId="76D6C778" w:rsidR="003857BB" w:rsidRPr="00610F28" w:rsidRDefault="003857BB" w:rsidP="003857BB">
            <w:pPr>
              <w:rPr>
                <w:rFonts w:ascii="Calibri" w:hAnsi="Calibri" w:cs="Calibri"/>
              </w:rPr>
            </w:pPr>
          </w:p>
        </w:tc>
      </w:tr>
      <w:tr w:rsidR="003857BB" w:rsidRPr="00610F28" w14:paraId="57804320" w14:textId="77777777" w:rsidTr="5F516881">
        <w:trPr>
          <w:trHeight w:val="22"/>
        </w:trPr>
        <w:tc>
          <w:tcPr>
            <w:tcW w:w="1066" w:type="dxa"/>
            <w:vAlign w:val="center"/>
          </w:tcPr>
          <w:p w14:paraId="0E2E9B2D" w14:textId="2F5137EA" w:rsidR="003857BB" w:rsidRPr="00610F28" w:rsidRDefault="003857BB" w:rsidP="003857BB">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3857BB" w:rsidRPr="00610F28" w:rsidRDefault="003857BB" w:rsidP="003857BB">
            <w:pPr>
              <w:rPr>
                <w:rFonts w:ascii="Calibri" w:hAnsi="Calibri" w:cs="Calibri"/>
              </w:rPr>
            </w:pPr>
            <w:r w:rsidRPr="00610F28">
              <w:rPr>
                <w:rFonts w:ascii="Calibri" w:hAnsi="Calibri" w:cs="Calibri"/>
              </w:rPr>
              <w:t xml:space="preserve"> Other</w:t>
            </w:r>
          </w:p>
        </w:tc>
        <w:tc>
          <w:tcPr>
            <w:tcW w:w="1740" w:type="dxa"/>
            <w:vAlign w:val="center"/>
          </w:tcPr>
          <w:p w14:paraId="0567E08D" w14:textId="4240E2E9" w:rsidR="003857BB" w:rsidRPr="00610F28" w:rsidRDefault="007C6423" w:rsidP="003857BB">
            <w:pPr>
              <w:rPr>
                <w:rFonts w:ascii="Calibri" w:hAnsi="Calibri" w:cs="Calibri"/>
              </w:rPr>
            </w:pPr>
            <w:r>
              <w:rPr>
                <w:rFonts w:ascii="Calibri" w:hAnsi="Calibri" w:cs="Calibri"/>
              </w:rPr>
              <w:t>X</w:t>
            </w:r>
          </w:p>
        </w:tc>
        <w:tc>
          <w:tcPr>
            <w:tcW w:w="1740" w:type="dxa"/>
            <w:vAlign w:val="center"/>
          </w:tcPr>
          <w:p w14:paraId="7D1E3033" w14:textId="77777777" w:rsidR="003857BB" w:rsidRPr="00610F28" w:rsidRDefault="003857BB" w:rsidP="003857BB">
            <w:pPr>
              <w:rPr>
                <w:rFonts w:ascii="Calibri" w:hAnsi="Calibri" w:cs="Calibri"/>
              </w:rPr>
            </w:pPr>
          </w:p>
        </w:tc>
        <w:tc>
          <w:tcPr>
            <w:tcW w:w="1740" w:type="dxa"/>
            <w:vAlign w:val="center"/>
          </w:tcPr>
          <w:p w14:paraId="0A2C1076" w14:textId="7A3444D0" w:rsidR="003857BB" w:rsidRPr="00610F28" w:rsidRDefault="003857BB" w:rsidP="003857BB">
            <w:pPr>
              <w:rPr>
                <w:rFonts w:ascii="Calibri" w:hAnsi="Calibri" w:cs="Calibri"/>
              </w:rPr>
            </w:pPr>
          </w:p>
        </w:tc>
      </w:tr>
      <w:tr w:rsidR="003857BB" w:rsidRPr="00610F28" w14:paraId="345124D1" w14:textId="77777777" w:rsidTr="5F516881">
        <w:trPr>
          <w:trHeight w:val="596"/>
        </w:trPr>
        <w:tc>
          <w:tcPr>
            <w:tcW w:w="1066" w:type="dxa"/>
            <w:vAlign w:val="center"/>
          </w:tcPr>
          <w:p w14:paraId="6E9C0EAB" w14:textId="3086E33F" w:rsidR="003857BB" w:rsidRPr="00610F28" w:rsidRDefault="003857BB" w:rsidP="003857BB">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3857BB" w:rsidRPr="00610F28" w:rsidRDefault="003857BB" w:rsidP="003857BB">
            <w:pPr>
              <w:rPr>
                <w:rFonts w:ascii="Calibri" w:hAnsi="Calibri" w:cs="Calibri"/>
              </w:rPr>
            </w:pPr>
            <w:r w:rsidRPr="00610F28">
              <w:rPr>
                <w:rFonts w:ascii="Calibri" w:hAnsi="Calibri" w:cs="Calibri"/>
              </w:rPr>
              <w:t>If “Other” selected, please explain.</w:t>
            </w:r>
          </w:p>
        </w:tc>
      </w:tr>
      <w:tr w:rsidR="003857BB" w:rsidRPr="00610F28" w14:paraId="4BB24F88" w14:textId="77777777" w:rsidTr="5F516881">
        <w:trPr>
          <w:trHeight w:val="1020"/>
        </w:trPr>
        <w:tc>
          <w:tcPr>
            <w:tcW w:w="1066" w:type="dxa"/>
            <w:vAlign w:val="center"/>
          </w:tcPr>
          <w:p w14:paraId="27FE2325" w14:textId="77777777" w:rsidR="003857BB" w:rsidRPr="00610F28" w:rsidRDefault="003857BB" w:rsidP="003857BB">
            <w:pPr>
              <w:rPr>
                <w:rFonts w:ascii="Calibri" w:hAnsi="Calibri" w:cs="Calibri"/>
              </w:rPr>
            </w:pPr>
          </w:p>
        </w:tc>
        <w:tc>
          <w:tcPr>
            <w:tcW w:w="9374" w:type="dxa"/>
            <w:gridSpan w:val="4"/>
            <w:shd w:val="clear" w:color="auto" w:fill="auto"/>
            <w:vAlign w:val="center"/>
          </w:tcPr>
          <w:p w14:paraId="5B970547" w14:textId="3E5843C7" w:rsidR="003857BB" w:rsidRPr="00610F28" w:rsidRDefault="007C6423" w:rsidP="003857BB">
            <w:pPr>
              <w:rPr>
                <w:rFonts w:ascii="Calibri" w:hAnsi="Calibri" w:cs="Calibri"/>
              </w:rPr>
            </w:pPr>
            <w:r>
              <w:rPr>
                <w:rFonts w:ascii="Calibri" w:hAnsi="Calibri" w:cs="Calibri"/>
              </w:rPr>
              <w:t>Section 3 of the Directive contains exclusions for specific sectors and areas.</w:t>
            </w:r>
          </w:p>
        </w:tc>
      </w:tr>
      <w:tr w:rsidR="003857BB" w:rsidRPr="00610F28" w14:paraId="5C14DBDB" w14:textId="77777777" w:rsidTr="5F516881">
        <w:trPr>
          <w:trHeight w:val="596"/>
        </w:trPr>
        <w:tc>
          <w:tcPr>
            <w:tcW w:w="1066" w:type="dxa"/>
            <w:vAlign w:val="center"/>
          </w:tcPr>
          <w:p w14:paraId="12A1ECF9" w14:textId="0FB991E8" w:rsidR="003857BB" w:rsidRPr="00610F28" w:rsidRDefault="003857BB" w:rsidP="003857BB">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3857BB" w:rsidRPr="00610F28" w:rsidRDefault="003857BB" w:rsidP="003857BB">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3857BB" w:rsidRPr="00610F28" w:rsidRDefault="003857BB" w:rsidP="003857BB">
            <w:pPr>
              <w:rPr>
                <w:rFonts w:ascii="Calibri" w:hAnsi="Calibri" w:cs="Calibri"/>
              </w:rPr>
            </w:pPr>
          </w:p>
          <w:p w14:paraId="4F53C762" w14:textId="1DEDCE2A" w:rsidR="003857BB" w:rsidRPr="00610F28" w:rsidRDefault="003857BB" w:rsidP="003857BB">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3857BB" w:rsidRPr="00610F28" w14:paraId="1433ADE2" w14:textId="77777777" w:rsidTr="5F516881">
        <w:trPr>
          <w:trHeight w:val="1020"/>
        </w:trPr>
        <w:tc>
          <w:tcPr>
            <w:tcW w:w="1066" w:type="dxa"/>
            <w:vAlign w:val="center"/>
          </w:tcPr>
          <w:p w14:paraId="274357EC" w14:textId="77777777" w:rsidR="003857BB" w:rsidRPr="00610F28" w:rsidRDefault="003857BB" w:rsidP="003857BB">
            <w:pPr>
              <w:rPr>
                <w:rFonts w:ascii="Calibri" w:hAnsi="Calibri" w:cs="Calibri"/>
              </w:rPr>
            </w:pPr>
          </w:p>
        </w:tc>
        <w:tc>
          <w:tcPr>
            <w:tcW w:w="9374" w:type="dxa"/>
            <w:gridSpan w:val="4"/>
            <w:shd w:val="clear" w:color="auto" w:fill="auto"/>
            <w:vAlign w:val="center"/>
          </w:tcPr>
          <w:p w14:paraId="5D90B9C5" w14:textId="77777777" w:rsidR="003857BB" w:rsidRPr="00610F28" w:rsidRDefault="003857BB" w:rsidP="003857BB">
            <w:pPr>
              <w:rPr>
                <w:rFonts w:ascii="Calibri" w:hAnsi="Calibri" w:cs="Calibri"/>
              </w:rPr>
            </w:pPr>
          </w:p>
        </w:tc>
      </w:tr>
      <w:tr w:rsidR="003857BB" w:rsidRPr="00610F28" w14:paraId="1A32E693" w14:textId="77777777" w:rsidTr="5F516881">
        <w:trPr>
          <w:trHeight w:val="800"/>
        </w:trPr>
        <w:tc>
          <w:tcPr>
            <w:tcW w:w="1066" w:type="dxa"/>
            <w:vAlign w:val="center"/>
          </w:tcPr>
          <w:p w14:paraId="1DA27F7C" w14:textId="63E8CB37" w:rsidR="003857BB" w:rsidRPr="00610F28" w:rsidRDefault="003857BB" w:rsidP="003857BB">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3857BB" w:rsidRPr="00610F28" w:rsidRDefault="003857BB" w:rsidP="003857BB">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3857BB" w:rsidRPr="00610F28" w14:paraId="79C91BCA" w14:textId="77777777" w:rsidTr="5F516881">
        <w:trPr>
          <w:trHeight w:val="440"/>
        </w:trPr>
        <w:tc>
          <w:tcPr>
            <w:tcW w:w="1066" w:type="dxa"/>
            <w:vAlign w:val="center"/>
          </w:tcPr>
          <w:p w14:paraId="2DC45910" w14:textId="77777777" w:rsidR="003857BB" w:rsidRPr="00610F28" w:rsidRDefault="003857BB" w:rsidP="003857BB">
            <w:pPr>
              <w:rPr>
                <w:rFonts w:ascii="Calibri" w:hAnsi="Calibri" w:cs="Calibri"/>
              </w:rPr>
            </w:pPr>
          </w:p>
        </w:tc>
        <w:tc>
          <w:tcPr>
            <w:tcW w:w="4154" w:type="dxa"/>
            <w:shd w:val="clear" w:color="auto" w:fill="DEEAF6" w:themeFill="accent5" w:themeFillTint="33"/>
            <w:vAlign w:val="center"/>
          </w:tcPr>
          <w:p w14:paraId="60999579" w14:textId="77777777" w:rsidR="003857BB" w:rsidRPr="00610F28" w:rsidRDefault="003857BB" w:rsidP="003857BB">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3857BB" w:rsidRPr="00610F28" w:rsidRDefault="003857BB" w:rsidP="003857BB">
            <w:pPr>
              <w:rPr>
                <w:rFonts w:ascii="Calibri" w:hAnsi="Calibri" w:cs="Calibri"/>
              </w:rPr>
            </w:pPr>
            <w:r w:rsidRPr="00610F28">
              <w:rPr>
                <w:rFonts w:ascii="Calibri" w:hAnsi="Calibri" w:cs="Calibri"/>
              </w:rPr>
              <w:t>Describe</w:t>
            </w:r>
          </w:p>
        </w:tc>
      </w:tr>
      <w:tr w:rsidR="003857BB" w:rsidRPr="00610F28" w14:paraId="6A87E824" w14:textId="77777777" w:rsidTr="5F516881">
        <w:trPr>
          <w:trHeight w:val="620"/>
        </w:trPr>
        <w:tc>
          <w:tcPr>
            <w:tcW w:w="1066" w:type="dxa"/>
            <w:vAlign w:val="center"/>
          </w:tcPr>
          <w:p w14:paraId="333C0D18" w14:textId="45D422FF" w:rsidR="003857BB" w:rsidRPr="00610F28" w:rsidRDefault="003857BB" w:rsidP="003857BB">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3857BB" w:rsidRPr="00610F28" w:rsidRDefault="003857BB" w:rsidP="003857BB">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62693921" w:rsidR="003857BB" w:rsidRPr="00610F28" w:rsidRDefault="003857BB" w:rsidP="003857BB">
            <w:pPr>
              <w:rPr>
                <w:rFonts w:ascii="Calibri" w:hAnsi="Calibri" w:cs="Calibri"/>
              </w:rPr>
            </w:pPr>
          </w:p>
        </w:tc>
      </w:tr>
      <w:tr w:rsidR="001062AC" w:rsidRPr="00610F28" w14:paraId="12303B6E" w14:textId="77777777" w:rsidTr="5F516881">
        <w:trPr>
          <w:trHeight w:val="440"/>
        </w:trPr>
        <w:tc>
          <w:tcPr>
            <w:tcW w:w="1066" w:type="dxa"/>
            <w:vAlign w:val="center"/>
          </w:tcPr>
          <w:p w14:paraId="7AE1A675" w14:textId="5D6D163E" w:rsidR="001062AC" w:rsidRPr="00610F28" w:rsidRDefault="001062AC" w:rsidP="001062AC">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1062AC" w:rsidRPr="00610F28" w:rsidRDefault="001062AC" w:rsidP="001062AC">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9C17F7A" w:rsidR="001062AC" w:rsidRPr="00610F28" w:rsidRDefault="001062AC" w:rsidP="001062AC">
            <w:pPr>
              <w:rPr>
                <w:rFonts w:ascii="Calibri" w:hAnsi="Calibri" w:cs="Calibri"/>
              </w:rPr>
            </w:pPr>
          </w:p>
        </w:tc>
      </w:tr>
      <w:tr w:rsidR="005E0E9E" w:rsidRPr="006840CD" w14:paraId="5F59079F" w14:textId="77777777" w:rsidTr="5F516881">
        <w:trPr>
          <w:trHeight w:val="440"/>
        </w:trPr>
        <w:tc>
          <w:tcPr>
            <w:tcW w:w="1066" w:type="dxa"/>
            <w:vAlign w:val="center"/>
          </w:tcPr>
          <w:p w14:paraId="5F6499F0" w14:textId="0DF6E6B2" w:rsidR="005E0E9E" w:rsidRPr="00610F28" w:rsidRDefault="005E0E9E" w:rsidP="005E0E9E">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5E0E9E" w:rsidRPr="00610F28" w:rsidRDefault="005E0E9E" w:rsidP="005E0E9E">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0F445905" w:rsidR="005E0E9E" w:rsidRPr="00610F28" w:rsidRDefault="005E0E9E" w:rsidP="005E0E9E">
            <w:pPr>
              <w:rPr>
                <w:rFonts w:ascii="Calibri" w:hAnsi="Calibri" w:cs="Calibri"/>
                <w:lang w:val="sv-SE"/>
              </w:rPr>
            </w:pPr>
          </w:p>
        </w:tc>
      </w:tr>
      <w:tr w:rsidR="005E0E9E" w:rsidRPr="00610F28" w14:paraId="4A6EF4F3" w14:textId="77777777" w:rsidTr="5F516881">
        <w:trPr>
          <w:trHeight w:val="620"/>
        </w:trPr>
        <w:tc>
          <w:tcPr>
            <w:tcW w:w="1066" w:type="dxa"/>
            <w:vAlign w:val="center"/>
          </w:tcPr>
          <w:p w14:paraId="75863DFE" w14:textId="2A346226" w:rsidR="005E0E9E" w:rsidRPr="00610F28" w:rsidRDefault="005E0E9E" w:rsidP="005E0E9E">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5E0E9E" w:rsidRPr="00610F28" w:rsidRDefault="005E0E9E" w:rsidP="005E0E9E">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6D67CC36" w:rsidR="005E0E9E" w:rsidRPr="00610F28" w:rsidRDefault="008F7943" w:rsidP="005E0E9E">
            <w:pPr>
              <w:rPr>
                <w:rFonts w:ascii="Calibri" w:hAnsi="Calibri" w:cs="Calibri"/>
              </w:rPr>
            </w:pPr>
            <w:r w:rsidRPr="008F7943">
              <w:rPr>
                <w:rFonts w:ascii="Calibri" w:hAnsi="Calibri" w:cs="Calibri"/>
              </w:rPr>
              <w:t xml:space="preserve">The Directive applies to procurement by contracting authorities in relation to public contracts and design contests whose estimated value is not less than the thresholds laid down. These thresholds vary depending on the type of contract and the nature of the contracting authority: </w:t>
            </w:r>
            <w:r w:rsidR="004C375D" w:rsidRPr="004C375D">
              <w:rPr>
                <w:rFonts w:ascii="Calibri" w:hAnsi="Calibri" w:cs="Calibri"/>
              </w:rPr>
              <w:t>€5,538,000 for public works (from 1 January 2024)</w:t>
            </w:r>
            <w:r w:rsidRPr="008F7943">
              <w:rPr>
                <w:rFonts w:ascii="Calibri" w:hAnsi="Calibri" w:cs="Calibri"/>
              </w:rPr>
              <w:t xml:space="preserve">, </w:t>
            </w:r>
            <w:r w:rsidR="008814AF" w:rsidRPr="008814AF">
              <w:rPr>
                <w:rFonts w:ascii="Calibri" w:hAnsi="Calibri" w:cs="Calibri"/>
              </w:rPr>
              <w:t>€143,000</w:t>
            </w:r>
            <w:r w:rsidRPr="008F7943">
              <w:rPr>
                <w:rFonts w:ascii="Calibri" w:hAnsi="Calibri" w:cs="Calibri"/>
              </w:rPr>
              <w:t xml:space="preserve"> for public supply and service contracts awarded by central government authorities, and for design contests organised by these authorities, for defence supply contracts, this applies only to products listed in Annex III</w:t>
            </w:r>
            <w:r w:rsidR="00DC51D5">
              <w:rPr>
                <w:rFonts w:ascii="Calibri" w:hAnsi="Calibri" w:cs="Calibri"/>
              </w:rPr>
              <w:t xml:space="preserve"> </w:t>
            </w:r>
            <w:r w:rsidRPr="008F7943">
              <w:rPr>
                <w:rFonts w:ascii="Calibri" w:hAnsi="Calibri" w:cs="Calibri"/>
              </w:rPr>
              <w:t xml:space="preserve">, </w:t>
            </w:r>
            <w:r w:rsidR="008814AF" w:rsidRPr="008814AF">
              <w:rPr>
                <w:rFonts w:ascii="Calibri" w:hAnsi="Calibri" w:cs="Calibri"/>
              </w:rPr>
              <w:t>€221,000</w:t>
            </w:r>
            <w:r w:rsidR="008814AF">
              <w:rPr>
                <w:rFonts w:ascii="Calibri" w:hAnsi="Calibri" w:cs="Calibri"/>
              </w:rPr>
              <w:t xml:space="preserve"> </w:t>
            </w:r>
            <w:r w:rsidRPr="008F7943">
              <w:rPr>
                <w:rFonts w:ascii="Calibri" w:hAnsi="Calibri" w:cs="Calibri"/>
              </w:rPr>
              <w:t>for public supply and service contracts awarded by non-central contracting authorities, and for design contests organised by these authorities</w:t>
            </w:r>
            <w:r w:rsidR="00DC51D5">
              <w:rPr>
                <w:rFonts w:ascii="Calibri" w:hAnsi="Calibri" w:cs="Calibri"/>
              </w:rPr>
              <w:t xml:space="preserve"> </w:t>
            </w:r>
            <w:r w:rsidR="00DC51D5" w:rsidRPr="00DC51D5">
              <w:rPr>
                <w:rFonts w:ascii="Calibri" w:hAnsi="Calibri" w:cs="Calibri"/>
              </w:rPr>
              <w:t>(from 1 January 2024)</w:t>
            </w:r>
            <w:r w:rsidRPr="008F7943">
              <w:rPr>
                <w:rFonts w:ascii="Calibri" w:hAnsi="Calibri" w:cs="Calibri"/>
              </w:rPr>
              <w:t xml:space="preserve">, </w:t>
            </w:r>
            <w:r w:rsidR="00DC51D5" w:rsidRPr="00DC51D5">
              <w:rPr>
                <w:rFonts w:ascii="Calibri" w:hAnsi="Calibri" w:cs="Calibri"/>
              </w:rPr>
              <w:t>€750,000</w:t>
            </w:r>
            <w:r w:rsidR="00DC51D5">
              <w:rPr>
                <w:rFonts w:ascii="Calibri" w:hAnsi="Calibri" w:cs="Calibri"/>
              </w:rPr>
              <w:t xml:space="preserve"> </w:t>
            </w:r>
            <w:r w:rsidRPr="008F7943">
              <w:rPr>
                <w:rFonts w:ascii="Calibri" w:hAnsi="Calibri" w:cs="Calibri"/>
              </w:rPr>
              <w:t>for public contracts for social and other specific services within the meaning of Annex XIV.</w:t>
            </w:r>
          </w:p>
        </w:tc>
      </w:tr>
      <w:tr w:rsidR="005E0E9E" w:rsidRPr="00610F28" w14:paraId="143820B9" w14:textId="77777777" w:rsidTr="5F516881">
        <w:trPr>
          <w:trHeight w:val="440"/>
        </w:trPr>
        <w:tc>
          <w:tcPr>
            <w:tcW w:w="1066" w:type="dxa"/>
            <w:vAlign w:val="center"/>
          </w:tcPr>
          <w:p w14:paraId="1DB7E0ED" w14:textId="1A47B2EF" w:rsidR="005E0E9E" w:rsidRPr="00610F28" w:rsidRDefault="005E0E9E" w:rsidP="005E0E9E">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5E0E9E" w:rsidRPr="00610F28" w:rsidRDefault="005E0E9E" w:rsidP="005E0E9E">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4C17C54B" w:rsidR="005E0E9E" w:rsidRPr="00610F28" w:rsidRDefault="005E0E9E" w:rsidP="005E0E9E">
            <w:pPr>
              <w:rPr>
                <w:rFonts w:ascii="Calibri" w:hAnsi="Calibri" w:cs="Calibri"/>
              </w:rPr>
            </w:pPr>
          </w:p>
        </w:tc>
      </w:tr>
      <w:tr w:rsidR="005E0E9E" w:rsidRPr="00610F28" w14:paraId="41C6A140" w14:textId="77777777" w:rsidTr="5F516881">
        <w:trPr>
          <w:trHeight w:val="350"/>
        </w:trPr>
        <w:tc>
          <w:tcPr>
            <w:tcW w:w="1066" w:type="dxa"/>
            <w:vAlign w:val="center"/>
          </w:tcPr>
          <w:p w14:paraId="484C1DC4" w14:textId="0EA04AAA" w:rsidR="005E0E9E" w:rsidRPr="00610F28" w:rsidRDefault="005E0E9E" w:rsidP="005E0E9E">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5E0E9E" w:rsidRPr="00610F28" w:rsidRDefault="005E0E9E" w:rsidP="005E0E9E">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5E0E9E" w:rsidRPr="00610F28" w:rsidRDefault="005E0E9E" w:rsidP="005E0E9E">
            <w:pPr>
              <w:rPr>
                <w:rFonts w:ascii="Calibri" w:hAnsi="Calibri" w:cs="Calibri"/>
              </w:rPr>
            </w:pPr>
          </w:p>
        </w:tc>
      </w:tr>
      <w:tr w:rsidR="005E0E9E" w:rsidRPr="00610F28" w14:paraId="2EF498B4" w14:textId="77777777" w:rsidTr="5F516881">
        <w:trPr>
          <w:trHeight w:val="710"/>
        </w:trPr>
        <w:tc>
          <w:tcPr>
            <w:tcW w:w="1066" w:type="dxa"/>
            <w:vAlign w:val="center"/>
          </w:tcPr>
          <w:p w14:paraId="7C24E2B2" w14:textId="3112413C" w:rsidR="005E0E9E" w:rsidRPr="00610F28" w:rsidRDefault="005E0E9E" w:rsidP="005E0E9E">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5E0E9E" w:rsidRPr="00610F28" w:rsidRDefault="005E0E9E" w:rsidP="005E0E9E">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5E0E9E" w:rsidRPr="00610F28" w14:paraId="4BC66F9F" w14:textId="77777777" w:rsidTr="5F516881">
        <w:trPr>
          <w:trHeight w:val="440"/>
        </w:trPr>
        <w:tc>
          <w:tcPr>
            <w:tcW w:w="1066" w:type="dxa"/>
            <w:vAlign w:val="center"/>
          </w:tcPr>
          <w:p w14:paraId="7892FAF8" w14:textId="50B348E6" w:rsidR="005E0E9E" w:rsidRPr="00610F28" w:rsidRDefault="005E0E9E" w:rsidP="005E0E9E">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5E0E9E" w:rsidRPr="00610F28" w:rsidRDefault="005E0E9E" w:rsidP="005E0E9E">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5E1D48E7" w:rsidR="005E0E9E" w:rsidRPr="00610F28" w:rsidRDefault="005B1DCF" w:rsidP="005E0E9E">
            <w:pPr>
              <w:rPr>
                <w:rFonts w:ascii="Calibri" w:hAnsi="Calibri" w:cs="Calibri"/>
              </w:rPr>
            </w:pPr>
            <w:r>
              <w:rPr>
                <w:rFonts w:ascii="Calibri" w:hAnsi="Calibri" w:cs="Calibri"/>
              </w:rPr>
              <w:t>X</w:t>
            </w:r>
          </w:p>
        </w:tc>
      </w:tr>
      <w:tr w:rsidR="005E0E9E" w:rsidRPr="00610F28" w14:paraId="5713FCD6" w14:textId="77777777" w:rsidTr="5F516881">
        <w:trPr>
          <w:trHeight w:val="440"/>
        </w:trPr>
        <w:tc>
          <w:tcPr>
            <w:tcW w:w="1066" w:type="dxa"/>
            <w:vAlign w:val="center"/>
          </w:tcPr>
          <w:p w14:paraId="16B511B0" w14:textId="6CB4C7F1" w:rsidR="005E0E9E" w:rsidRPr="00610F28" w:rsidRDefault="005E0E9E" w:rsidP="005E0E9E">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5E0E9E" w:rsidRPr="00610F28" w:rsidRDefault="005E0E9E" w:rsidP="005E0E9E">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5E0E9E" w:rsidRPr="00610F28" w:rsidRDefault="005E0E9E" w:rsidP="005E0E9E">
            <w:pPr>
              <w:rPr>
                <w:rFonts w:ascii="Calibri" w:hAnsi="Calibri" w:cs="Calibri"/>
              </w:rPr>
            </w:pPr>
          </w:p>
        </w:tc>
      </w:tr>
      <w:tr w:rsidR="005E0E9E" w:rsidRPr="00610F28" w14:paraId="62EEC281" w14:textId="77777777" w:rsidTr="5F516881">
        <w:trPr>
          <w:trHeight w:val="440"/>
        </w:trPr>
        <w:tc>
          <w:tcPr>
            <w:tcW w:w="1066" w:type="dxa"/>
            <w:vAlign w:val="center"/>
          </w:tcPr>
          <w:p w14:paraId="34D7928E" w14:textId="6019355B" w:rsidR="005E0E9E" w:rsidRPr="00610F28" w:rsidRDefault="005E0E9E" w:rsidP="005E0E9E">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5E0E9E" w:rsidRPr="00610F28" w:rsidRDefault="005E0E9E" w:rsidP="005E0E9E">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5E0E9E" w:rsidRPr="00610F28" w:rsidRDefault="005E0E9E" w:rsidP="005E0E9E">
            <w:pPr>
              <w:rPr>
                <w:rFonts w:ascii="Calibri" w:hAnsi="Calibri" w:cs="Calibri"/>
              </w:rPr>
            </w:pPr>
          </w:p>
        </w:tc>
      </w:tr>
      <w:tr w:rsidR="005E0E9E" w:rsidRPr="00610F28" w14:paraId="579DFD8D" w14:textId="77777777" w:rsidTr="5F516881">
        <w:trPr>
          <w:trHeight w:val="710"/>
        </w:trPr>
        <w:tc>
          <w:tcPr>
            <w:tcW w:w="1066" w:type="dxa"/>
            <w:vAlign w:val="center"/>
          </w:tcPr>
          <w:p w14:paraId="7CA8BF2D" w14:textId="5AFF942E" w:rsidR="005E0E9E" w:rsidRPr="00610F28" w:rsidRDefault="005E0E9E" w:rsidP="005E0E9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5E0E9E" w:rsidRPr="00610F28" w:rsidRDefault="005E0E9E" w:rsidP="005E0E9E">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E0E9E" w:rsidRPr="00610F28" w14:paraId="4C71C5E0" w14:textId="77777777" w:rsidTr="5F516881">
        <w:trPr>
          <w:trHeight w:val="1020"/>
        </w:trPr>
        <w:tc>
          <w:tcPr>
            <w:tcW w:w="1066" w:type="dxa"/>
            <w:vAlign w:val="center"/>
          </w:tcPr>
          <w:p w14:paraId="6314E3C3" w14:textId="77777777" w:rsidR="005E0E9E" w:rsidRPr="00610F28" w:rsidRDefault="005E0E9E" w:rsidP="005E0E9E">
            <w:pPr>
              <w:rPr>
                <w:rFonts w:ascii="Calibri" w:hAnsi="Calibri" w:cs="Calibri"/>
              </w:rPr>
            </w:pPr>
          </w:p>
        </w:tc>
        <w:tc>
          <w:tcPr>
            <w:tcW w:w="9374" w:type="dxa"/>
            <w:gridSpan w:val="4"/>
            <w:shd w:val="clear" w:color="auto" w:fill="auto"/>
            <w:vAlign w:val="center"/>
          </w:tcPr>
          <w:p w14:paraId="33728C01" w14:textId="77777777" w:rsidR="005E0E9E" w:rsidRPr="00610F28" w:rsidRDefault="005E0E9E" w:rsidP="005E0E9E">
            <w:pPr>
              <w:rPr>
                <w:rFonts w:ascii="Calibri" w:hAnsi="Calibri" w:cs="Calibri"/>
              </w:rPr>
            </w:pPr>
          </w:p>
        </w:tc>
      </w:tr>
      <w:tr w:rsidR="005E0E9E" w:rsidRPr="00610F28" w14:paraId="6075CC31" w14:textId="77777777" w:rsidTr="5F516881">
        <w:trPr>
          <w:trHeight w:val="22"/>
        </w:trPr>
        <w:tc>
          <w:tcPr>
            <w:tcW w:w="1066" w:type="dxa"/>
            <w:vAlign w:val="center"/>
          </w:tcPr>
          <w:p w14:paraId="43C0EF1A" w14:textId="3AE8F1C4" w:rsidR="005E0E9E" w:rsidRPr="00610F28" w:rsidRDefault="005E0E9E" w:rsidP="005E0E9E">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5E0E9E" w:rsidRPr="00610F28" w:rsidRDefault="005E0E9E" w:rsidP="005E0E9E">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5E0E9E" w:rsidRPr="00610F28" w14:paraId="6F4DD2E6" w14:textId="77777777" w:rsidTr="5F516881">
        <w:trPr>
          <w:trHeight w:val="23"/>
        </w:trPr>
        <w:tc>
          <w:tcPr>
            <w:tcW w:w="1066" w:type="dxa"/>
            <w:vAlign w:val="center"/>
          </w:tcPr>
          <w:p w14:paraId="0FD5B466" w14:textId="40B27A17" w:rsidR="005E0E9E" w:rsidRPr="00610F28" w:rsidRDefault="005E0E9E" w:rsidP="005E0E9E">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5E0E9E" w:rsidRPr="00610F28" w:rsidRDefault="005E0E9E" w:rsidP="005E0E9E">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5E0E9E" w:rsidRPr="00610F28" w:rsidRDefault="005E0E9E" w:rsidP="005E0E9E">
            <w:pPr>
              <w:rPr>
                <w:rFonts w:ascii="Calibri" w:hAnsi="Calibri" w:cs="Calibri"/>
              </w:rPr>
            </w:pPr>
          </w:p>
        </w:tc>
      </w:tr>
      <w:tr w:rsidR="005E0E9E" w:rsidRPr="00610F28" w14:paraId="6432458E" w14:textId="77777777" w:rsidTr="5F516881">
        <w:trPr>
          <w:trHeight w:val="20"/>
        </w:trPr>
        <w:tc>
          <w:tcPr>
            <w:tcW w:w="1066" w:type="dxa"/>
            <w:vAlign w:val="center"/>
          </w:tcPr>
          <w:p w14:paraId="17A0B911" w14:textId="512A9BC6" w:rsidR="005E0E9E" w:rsidRPr="00610F28" w:rsidRDefault="005E0E9E" w:rsidP="005E0E9E">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5E0E9E" w:rsidRPr="00610F28" w:rsidRDefault="005E0E9E" w:rsidP="005E0E9E">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5E0E9E" w:rsidRPr="00610F28" w:rsidRDefault="005E0E9E" w:rsidP="005E0E9E">
            <w:pPr>
              <w:rPr>
                <w:rFonts w:ascii="Calibri" w:hAnsi="Calibri" w:cs="Calibri"/>
              </w:rPr>
            </w:pPr>
          </w:p>
        </w:tc>
      </w:tr>
      <w:tr w:rsidR="005E0E9E" w:rsidRPr="00610F28" w14:paraId="10EF0BDA" w14:textId="77777777" w:rsidTr="5F516881">
        <w:trPr>
          <w:trHeight w:val="20"/>
        </w:trPr>
        <w:tc>
          <w:tcPr>
            <w:tcW w:w="1066" w:type="dxa"/>
            <w:vAlign w:val="center"/>
          </w:tcPr>
          <w:p w14:paraId="77A333B2" w14:textId="071AE4D2" w:rsidR="005E0E9E" w:rsidRPr="00610F28" w:rsidRDefault="005E0E9E" w:rsidP="005E0E9E">
            <w:pPr>
              <w:rPr>
                <w:rFonts w:ascii="Calibri" w:hAnsi="Calibri" w:cs="Calibri"/>
              </w:rPr>
            </w:pPr>
            <w:r w:rsidRPr="00610F28">
              <w:rPr>
                <w:rFonts w:ascii="Calibri" w:hAnsi="Calibri" w:cs="Calibri"/>
              </w:rPr>
              <w:lastRenderedPageBreak/>
              <w:t>3.8.3</w:t>
            </w:r>
          </w:p>
        </w:tc>
        <w:tc>
          <w:tcPr>
            <w:tcW w:w="4154" w:type="dxa"/>
            <w:shd w:val="clear" w:color="auto" w:fill="E2EFD9" w:themeFill="accent6" w:themeFillTint="33"/>
            <w:vAlign w:val="center"/>
          </w:tcPr>
          <w:p w14:paraId="4B032F12" w14:textId="77777777" w:rsidR="005E0E9E" w:rsidRPr="00610F28" w:rsidRDefault="005E0E9E" w:rsidP="005E0E9E">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072A73BA" w:rsidR="005E0E9E" w:rsidRPr="00610F28" w:rsidRDefault="00390FC7" w:rsidP="005E0E9E">
            <w:pPr>
              <w:rPr>
                <w:rFonts w:ascii="Calibri" w:hAnsi="Calibri" w:cs="Calibri"/>
              </w:rPr>
            </w:pPr>
            <w:r>
              <w:rPr>
                <w:rFonts w:ascii="Calibri" w:hAnsi="Calibri" w:cs="Calibri"/>
              </w:rPr>
              <w:t>X</w:t>
            </w:r>
          </w:p>
        </w:tc>
      </w:tr>
      <w:tr w:rsidR="005E0E9E" w:rsidRPr="00610F28" w14:paraId="6CD5ECFA" w14:textId="77777777" w:rsidTr="5F516881">
        <w:trPr>
          <w:trHeight w:val="20"/>
        </w:trPr>
        <w:tc>
          <w:tcPr>
            <w:tcW w:w="1066" w:type="dxa"/>
            <w:vAlign w:val="center"/>
          </w:tcPr>
          <w:p w14:paraId="3DA67187" w14:textId="2BE9DA20" w:rsidR="005E0E9E" w:rsidRPr="00610F28" w:rsidRDefault="005E0E9E" w:rsidP="005E0E9E">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5E0E9E" w:rsidRPr="00610F28" w:rsidRDefault="005E0E9E" w:rsidP="005E0E9E">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18A61EB" w:rsidR="005E0E9E" w:rsidRPr="00610F28" w:rsidRDefault="009E2198" w:rsidP="005E0E9E">
            <w:pPr>
              <w:rPr>
                <w:rFonts w:ascii="Calibri" w:hAnsi="Calibri" w:cs="Calibri"/>
              </w:rPr>
            </w:pPr>
            <w:r>
              <w:rPr>
                <w:rFonts w:ascii="Calibri" w:hAnsi="Calibri" w:cs="Calibri"/>
              </w:rPr>
              <w:t>X</w:t>
            </w:r>
          </w:p>
        </w:tc>
      </w:tr>
      <w:tr w:rsidR="005E0E9E" w:rsidRPr="00610F28" w14:paraId="0A4EDE4C" w14:textId="77777777" w:rsidTr="5F516881">
        <w:trPr>
          <w:trHeight w:val="20"/>
        </w:trPr>
        <w:tc>
          <w:tcPr>
            <w:tcW w:w="1066" w:type="dxa"/>
            <w:vAlign w:val="center"/>
          </w:tcPr>
          <w:p w14:paraId="65F11F51" w14:textId="3B8A9493" w:rsidR="005E0E9E" w:rsidRPr="00610F28" w:rsidRDefault="005E0E9E" w:rsidP="005E0E9E">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5E0E9E" w:rsidRPr="00610F28" w:rsidRDefault="005E0E9E" w:rsidP="005E0E9E">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5E0E9E" w:rsidRPr="00610F28" w:rsidRDefault="005E0E9E" w:rsidP="005E0E9E">
            <w:pPr>
              <w:rPr>
                <w:rFonts w:ascii="Calibri" w:hAnsi="Calibri" w:cs="Calibri"/>
              </w:rPr>
            </w:pPr>
          </w:p>
        </w:tc>
      </w:tr>
      <w:tr w:rsidR="005E0E9E" w:rsidRPr="00610F28" w14:paraId="164F1DC1" w14:textId="77777777" w:rsidTr="5F516881">
        <w:trPr>
          <w:trHeight w:val="20"/>
        </w:trPr>
        <w:tc>
          <w:tcPr>
            <w:tcW w:w="1066" w:type="dxa"/>
            <w:vAlign w:val="center"/>
          </w:tcPr>
          <w:p w14:paraId="0EB2B0F3" w14:textId="1BDF1FD9" w:rsidR="005E0E9E" w:rsidRPr="00610F28" w:rsidRDefault="005E0E9E" w:rsidP="005E0E9E">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5E0E9E" w:rsidRPr="00610F28" w:rsidRDefault="005E0E9E" w:rsidP="005E0E9E">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5E0E9E" w:rsidRPr="00610F28" w:rsidRDefault="005E0E9E" w:rsidP="005E0E9E">
            <w:pPr>
              <w:rPr>
                <w:rFonts w:ascii="Calibri" w:hAnsi="Calibri" w:cs="Calibri"/>
              </w:rPr>
            </w:pPr>
          </w:p>
        </w:tc>
      </w:tr>
      <w:tr w:rsidR="005E0E9E" w:rsidRPr="00610F28" w14:paraId="1C19138F" w14:textId="77777777" w:rsidTr="5F516881">
        <w:trPr>
          <w:trHeight w:val="20"/>
        </w:trPr>
        <w:tc>
          <w:tcPr>
            <w:tcW w:w="1066" w:type="dxa"/>
            <w:vAlign w:val="center"/>
          </w:tcPr>
          <w:p w14:paraId="74353D6B" w14:textId="10D18A1E" w:rsidR="005E0E9E" w:rsidRPr="00610F28" w:rsidRDefault="005E0E9E" w:rsidP="005E0E9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5E0E9E" w:rsidRPr="00610F28" w:rsidRDefault="005E0E9E" w:rsidP="005E0E9E">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5E0E9E" w:rsidRPr="00610F28" w:rsidRDefault="005E0E9E" w:rsidP="005E0E9E">
            <w:pPr>
              <w:rPr>
                <w:rFonts w:ascii="Calibri" w:hAnsi="Calibri" w:cs="Calibri"/>
              </w:rPr>
            </w:pPr>
          </w:p>
        </w:tc>
      </w:tr>
      <w:tr w:rsidR="005E0E9E" w:rsidRPr="00610F28" w14:paraId="3B99DA92" w14:textId="77777777" w:rsidTr="5F516881">
        <w:trPr>
          <w:trHeight w:val="20"/>
        </w:trPr>
        <w:tc>
          <w:tcPr>
            <w:tcW w:w="1066" w:type="dxa"/>
            <w:vAlign w:val="center"/>
          </w:tcPr>
          <w:p w14:paraId="091014CB" w14:textId="4E254EF4" w:rsidR="005E0E9E" w:rsidRPr="00610F28" w:rsidRDefault="005E0E9E" w:rsidP="005E0E9E">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5E0E9E" w:rsidRPr="00610F28" w:rsidRDefault="005E0E9E" w:rsidP="005E0E9E">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5E0E9E" w:rsidRPr="00610F28" w:rsidRDefault="005E0E9E" w:rsidP="005E0E9E">
            <w:pPr>
              <w:rPr>
                <w:rFonts w:ascii="Calibri" w:hAnsi="Calibri" w:cs="Calibri"/>
              </w:rPr>
            </w:pPr>
          </w:p>
        </w:tc>
      </w:tr>
      <w:tr w:rsidR="005E0E9E" w:rsidRPr="00610F28" w14:paraId="300CF458" w14:textId="77777777" w:rsidTr="5F516881">
        <w:trPr>
          <w:trHeight w:val="20"/>
        </w:trPr>
        <w:tc>
          <w:tcPr>
            <w:tcW w:w="1066" w:type="dxa"/>
            <w:vAlign w:val="center"/>
          </w:tcPr>
          <w:p w14:paraId="1862ED7B" w14:textId="149EB4D6" w:rsidR="005E0E9E" w:rsidRPr="00610F28" w:rsidRDefault="005E0E9E" w:rsidP="005E0E9E">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5E0E9E" w:rsidRPr="00610F28" w:rsidRDefault="005E0E9E" w:rsidP="005E0E9E">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5E0E9E" w:rsidRPr="00610F28" w:rsidRDefault="005E0E9E" w:rsidP="005E0E9E">
            <w:pPr>
              <w:rPr>
                <w:rFonts w:ascii="Calibri" w:hAnsi="Calibri" w:cs="Calibri"/>
              </w:rPr>
            </w:pPr>
          </w:p>
        </w:tc>
      </w:tr>
      <w:tr w:rsidR="005E0E9E" w:rsidRPr="00610F28" w14:paraId="4488A57E" w14:textId="77777777" w:rsidTr="5F516881">
        <w:trPr>
          <w:trHeight w:val="20"/>
        </w:trPr>
        <w:tc>
          <w:tcPr>
            <w:tcW w:w="1066" w:type="dxa"/>
            <w:vAlign w:val="center"/>
          </w:tcPr>
          <w:p w14:paraId="7C0694A1" w14:textId="4D2C5A90" w:rsidR="005E0E9E" w:rsidRPr="00610F28" w:rsidRDefault="005E0E9E" w:rsidP="005E0E9E">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5E0E9E" w:rsidRPr="00610F28" w:rsidRDefault="005E0E9E" w:rsidP="005E0E9E">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5E0E9E" w:rsidRPr="00610F28" w:rsidRDefault="005E0E9E" w:rsidP="005E0E9E">
            <w:pPr>
              <w:rPr>
                <w:rFonts w:ascii="Calibri" w:hAnsi="Calibri" w:cs="Calibri"/>
              </w:rPr>
            </w:pPr>
          </w:p>
        </w:tc>
      </w:tr>
      <w:tr w:rsidR="005E0E9E" w:rsidRPr="00610F28" w14:paraId="15BE687E" w14:textId="77777777" w:rsidTr="5F516881">
        <w:trPr>
          <w:trHeight w:val="20"/>
        </w:trPr>
        <w:tc>
          <w:tcPr>
            <w:tcW w:w="1066" w:type="dxa"/>
            <w:vAlign w:val="center"/>
          </w:tcPr>
          <w:p w14:paraId="6B103120" w14:textId="5CC260FD" w:rsidR="005E0E9E" w:rsidRPr="00610F28" w:rsidRDefault="005E0E9E" w:rsidP="005E0E9E">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5E0E9E" w:rsidRPr="00610F28" w:rsidRDefault="005E0E9E" w:rsidP="005E0E9E">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6CF52AA9">
              <w:rPr>
                <w:rFonts w:ascii="Calibri" w:eastAsia="Times New Roman" w:hAnsi="Calibri" w:cs="Calibri"/>
                <w:b/>
                <w:bCs/>
                <w:color w:val="7030A0"/>
                <w:kern w:val="0"/>
                <w:lang w:val="en-SG" w:eastAsia="en-GB"/>
                <w14:ligatures w14:val="none"/>
              </w:rPr>
              <w:t>policy tool</w:t>
            </w:r>
            <w:r w:rsidRPr="00610F28">
              <w:rPr>
                <w:rFonts w:ascii="Calibri" w:hAnsi="Calibri" w:cs="Calibri"/>
              </w:rPr>
              <w:t>.</w:t>
            </w:r>
          </w:p>
        </w:tc>
      </w:tr>
      <w:tr w:rsidR="003B7036" w:rsidRPr="00610F28" w14:paraId="5FFBB9AD" w14:textId="77777777" w:rsidTr="5F516881">
        <w:trPr>
          <w:trHeight w:val="1020"/>
        </w:trPr>
        <w:tc>
          <w:tcPr>
            <w:tcW w:w="1066" w:type="dxa"/>
            <w:vAlign w:val="center"/>
          </w:tcPr>
          <w:p w14:paraId="2FF767F0" w14:textId="77777777" w:rsidR="003B7036" w:rsidRPr="00610F28" w:rsidRDefault="003B7036" w:rsidP="003B7036">
            <w:pPr>
              <w:rPr>
                <w:rFonts w:ascii="Calibri" w:hAnsi="Calibri" w:cs="Calibri"/>
              </w:rPr>
            </w:pPr>
          </w:p>
        </w:tc>
        <w:tc>
          <w:tcPr>
            <w:tcW w:w="9374" w:type="dxa"/>
            <w:gridSpan w:val="4"/>
            <w:shd w:val="clear" w:color="auto" w:fill="auto"/>
            <w:vAlign w:val="center"/>
          </w:tcPr>
          <w:p w14:paraId="110D0EA7" w14:textId="77777777" w:rsidR="00D76FCF" w:rsidRDefault="00C703FF" w:rsidP="00D76FCF">
            <w:pPr>
              <w:rPr>
                <w:rFonts w:ascii="Calibri" w:hAnsi="Calibri" w:cs="Calibri"/>
              </w:rPr>
            </w:pPr>
            <w:r w:rsidRPr="6CF52AA9">
              <w:rPr>
                <w:rFonts w:ascii="Calibri" w:hAnsi="Calibri" w:cs="Calibri"/>
              </w:rPr>
              <w:t xml:space="preserve">Article 57 deals with the grounds on which an entrepreneur may be excluded from participating in a procurement procedure. </w:t>
            </w:r>
          </w:p>
          <w:p w14:paraId="415B2087" w14:textId="6E781D68" w:rsidR="003B7036" w:rsidRPr="00C703FF" w:rsidRDefault="733B50F2" w:rsidP="00D76FCF">
            <w:r w:rsidRPr="6CF52AA9">
              <w:rPr>
                <w:rFonts w:ascii="Calibri" w:eastAsia="Calibri" w:hAnsi="Calibri" w:cs="Calibri"/>
              </w:rPr>
              <w:t>Article 69 deals with rejection of tenders that are deemed to be abnormally low. In such a case, the tender may be rejected due to incompatibility with internal market under Article 107 TFEU.</w:t>
            </w:r>
          </w:p>
        </w:tc>
      </w:tr>
      <w:tr w:rsidR="003B7036" w:rsidRPr="00610F28" w14:paraId="2461D49A" w14:textId="77777777" w:rsidTr="5F516881">
        <w:trPr>
          <w:trHeight w:val="1430"/>
        </w:trPr>
        <w:tc>
          <w:tcPr>
            <w:tcW w:w="1066" w:type="dxa"/>
            <w:vAlign w:val="center"/>
          </w:tcPr>
          <w:p w14:paraId="4941B17C" w14:textId="76E279C1" w:rsidR="003B7036" w:rsidRPr="00610F28" w:rsidRDefault="003B7036" w:rsidP="003B7036">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3B7036" w:rsidRPr="00610F28" w:rsidRDefault="003B7036" w:rsidP="003B7036">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3B7036" w:rsidRPr="00610F28" w:rsidRDefault="003B7036" w:rsidP="003B7036">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3B7036" w:rsidRPr="00610F28" w:rsidRDefault="003B7036" w:rsidP="003B7036">
            <w:pPr>
              <w:rPr>
                <w:rFonts w:ascii="Calibri" w:hAnsi="Calibri" w:cs="Calibri"/>
              </w:rPr>
            </w:pPr>
            <w:r w:rsidRPr="00610F28">
              <w:rPr>
                <w:rFonts w:ascii="Calibri" w:hAnsi="Calibri" w:cs="Calibri"/>
              </w:rPr>
              <w:t xml:space="preserve">Select the appropriate response using an X.   </w:t>
            </w:r>
          </w:p>
        </w:tc>
      </w:tr>
      <w:tr w:rsidR="003B7036" w:rsidRPr="00610F28" w14:paraId="2FF4A9D6" w14:textId="77777777" w:rsidTr="5F516881">
        <w:trPr>
          <w:trHeight w:val="440"/>
        </w:trPr>
        <w:tc>
          <w:tcPr>
            <w:tcW w:w="1066" w:type="dxa"/>
            <w:vAlign w:val="center"/>
          </w:tcPr>
          <w:p w14:paraId="5825DF0D" w14:textId="7508C287" w:rsidR="003B7036" w:rsidRPr="00610F28" w:rsidRDefault="003B7036" w:rsidP="003B7036">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3B7036" w:rsidRPr="00610F28" w:rsidRDefault="003B7036" w:rsidP="003B7036">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3B7036" w:rsidRPr="00610F28" w:rsidRDefault="003B7036" w:rsidP="003B7036">
            <w:pPr>
              <w:rPr>
                <w:rFonts w:ascii="Calibri" w:hAnsi="Calibri" w:cs="Calibri"/>
              </w:rPr>
            </w:pPr>
          </w:p>
        </w:tc>
      </w:tr>
      <w:tr w:rsidR="003B7036" w:rsidRPr="00610F28" w14:paraId="12DB2B20" w14:textId="77777777" w:rsidTr="5F516881">
        <w:trPr>
          <w:trHeight w:val="440"/>
        </w:trPr>
        <w:tc>
          <w:tcPr>
            <w:tcW w:w="1066" w:type="dxa"/>
            <w:vAlign w:val="center"/>
          </w:tcPr>
          <w:p w14:paraId="5824408C" w14:textId="15F318D1" w:rsidR="003B7036" w:rsidRPr="00610F28" w:rsidRDefault="003B7036" w:rsidP="003B7036">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3B7036" w:rsidRPr="00610F28" w:rsidRDefault="003B7036" w:rsidP="003B703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3B7036" w:rsidRPr="00610F28" w:rsidRDefault="003B7036" w:rsidP="003B7036">
            <w:pPr>
              <w:rPr>
                <w:rFonts w:ascii="Calibri" w:hAnsi="Calibri" w:cs="Calibri"/>
              </w:rPr>
            </w:pPr>
          </w:p>
        </w:tc>
      </w:tr>
      <w:tr w:rsidR="003B7036" w:rsidRPr="00610F28" w14:paraId="3D595240" w14:textId="77777777" w:rsidTr="5F516881">
        <w:trPr>
          <w:trHeight w:val="800"/>
        </w:trPr>
        <w:tc>
          <w:tcPr>
            <w:tcW w:w="1066" w:type="dxa"/>
            <w:vAlign w:val="center"/>
          </w:tcPr>
          <w:p w14:paraId="7D121960" w14:textId="64810AAF" w:rsidR="003B7036" w:rsidRPr="00610F28" w:rsidRDefault="003B7036" w:rsidP="003B7036">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3B7036" w:rsidRPr="00610F28" w:rsidRDefault="003B7036" w:rsidP="003B7036">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B7036" w:rsidRPr="00610F28" w14:paraId="370AC42C" w14:textId="77777777" w:rsidTr="5F516881">
        <w:trPr>
          <w:trHeight w:val="1020"/>
        </w:trPr>
        <w:tc>
          <w:tcPr>
            <w:tcW w:w="1066" w:type="dxa"/>
            <w:vAlign w:val="center"/>
          </w:tcPr>
          <w:p w14:paraId="26B54535" w14:textId="77777777" w:rsidR="003B7036" w:rsidRPr="00610F28" w:rsidRDefault="003B7036" w:rsidP="003B7036">
            <w:pPr>
              <w:rPr>
                <w:rFonts w:ascii="Calibri" w:hAnsi="Calibri" w:cs="Calibri"/>
              </w:rPr>
            </w:pPr>
          </w:p>
        </w:tc>
        <w:tc>
          <w:tcPr>
            <w:tcW w:w="9374" w:type="dxa"/>
            <w:gridSpan w:val="4"/>
            <w:shd w:val="clear" w:color="auto" w:fill="auto"/>
            <w:vAlign w:val="center"/>
          </w:tcPr>
          <w:p w14:paraId="132CC192" w14:textId="77777777" w:rsidR="003B7036" w:rsidRPr="00610F28" w:rsidRDefault="003B7036" w:rsidP="003B7036">
            <w:pPr>
              <w:rPr>
                <w:rFonts w:ascii="Calibri" w:hAnsi="Calibri" w:cs="Calibri"/>
              </w:rPr>
            </w:pPr>
          </w:p>
        </w:tc>
      </w:tr>
      <w:tr w:rsidR="003B7036" w:rsidRPr="00610F28" w14:paraId="43CE4FE9" w14:textId="77777777" w:rsidTr="5F516881">
        <w:trPr>
          <w:trHeight w:val="1475"/>
        </w:trPr>
        <w:tc>
          <w:tcPr>
            <w:tcW w:w="1066" w:type="dxa"/>
            <w:vAlign w:val="center"/>
          </w:tcPr>
          <w:p w14:paraId="3314A66D" w14:textId="3278FB5D" w:rsidR="003B7036" w:rsidRPr="00610F28" w:rsidRDefault="003B7036" w:rsidP="003B7036">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3B7036" w:rsidRPr="00610F28" w:rsidRDefault="003B7036" w:rsidP="003B7036">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3B7036" w:rsidRPr="00610F28" w:rsidRDefault="003B7036" w:rsidP="003B7036">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3B7036" w:rsidRPr="00610F28" w:rsidRDefault="003B7036" w:rsidP="003B7036">
            <w:pPr>
              <w:rPr>
                <w:rFonts w:ascii="Calibri" w:hAnsi="Calibri" w:cs="Calibri"/>
              </w:rPr>
            </w:pPr>
            <w:r w:rsidRPr="00610F28">
              <w:rPr>
                <w:rFonts w:ascii="Calibri" w:hAnsi="Calibri" w:cs="Calibri"/>
              </w:rPr>
              <w:t xml:space="preserve">Select the appropriate response using an X.   </w:t>
            </w:r>
          </w:p>
        </w:tc>
      </w:tr>
      <w:tr w:rsidR="003B7036" w:rsidRPr="00610F28" w14:paraId="70334481" w14:textId="77777777" w:rsidTr="5F516881">
        <w:trPr>
          <w:trHeight w:val="440"/>
        </w:trPr>
        <w:tc>
          <w:tcPr>
            <w:tcW w:w="1066" w:type="dxa"/>
            <w:vAlign w:val="center"/>
          </w:tcPr>
          <w:p w14:paraId="5CDC8498" w14:textId="0AEA94F7" w:rsidR="003B7036" w:rsidRPr="00610F28" w:rsidRDefault="003B7036" w:rsidP="003B7036">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3B7036" w:rsidRPr="00610F28" w:rsidRDefault="003B7036" w:rsidP="003B7036">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4556044" w:rsidR="003B7036" w:rsidRPr="00610F28" w:rsidRDefault="003B7036" w:rsidP="003B7036">
            <w:pPr>
              <w:rPr>
                <w:rFonts w:ascii="Calibri" w:hAnsi="Calibri" w:cs="Calibri"/>
              </w:rPr>
            </w:pPr>
          </w:p>
        </w:tc>
      </w:tr>
      <w:tr w:rsidR="003B7036" w:rsidRPr="00610F28" w14:paraId="5C320E29" w14:textId="77777777" w:rsidTr="5F516881">
        <w:trPr>
          <w:trHeight w:val="440"/>
        </w:trPr>
        <w:tc>
          <w:tcPr>
            <w:tcW w:w="1066" w:type="dxa"/>
            <w:vAlign w:val="center"/>
          </w:tcPr>
          <w:p w14:paraId="79D7F894" w14:textId="22A8C001" w:rsidR="003B7036" w:rsidRPr="00610F28" w:rsidRDefault="003B7036" w:rsidP="003B7036">
            <w:pPr>
              <w:rPr>
                <w:rFonts w:ascii="Calibri" w:hAnsi="Calibri" w:cs="Calibri"/>
              </w:rPr>
            </w:pPr>
            <w:r w:rsidRPr="00610F28">
              <w:rPr>
                <w:rFonts w:ascii="Calibri" w:hAnsi="Calibri" w:cs="Calibri"/>
              </w:rPr>
              <w:lastRenderedPageBreak/>
              <w:t>3.12.2</w:t>
            </w:r>
          </w:p>
        </w:tc>
        <w:tc>
          <w:tcPr>
            <w:tcW w:w="4154" w:type="dxa"/>
            <w:shd w:val="clear" w:color="auto" w:fill="E2EFD9" w:themeFill="accent6" w:themeFillTint="33"/>
            <w:vAlign w:val="center"/>
          </w:tcPr>
          <w:p w14:paraId="6D683F5F" w14:textId="77777777" w:rsidR="003B7036" w:rsidRPr="00610F28" w:rsidRDefault="003B7036" w:rsidP="003B703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2A5AD4BD" w:rsidR="003B7036" w:rsidRPr="00610F28" w:rsidRDefault="00082B70" w:rsidP="003B7036">
            <w:pPr>
              <w:rPr>
                <w:rFonts w:ascii="Calibri" w:hAnsi="Calibri" w:cs="Calibri"/>
              </w:rPr>
            </w:pPr>
            <w:r>
              <w:rPr>
                <w:rFonts w:ascii="Calibri" w:hAnsi="Calibri" w:cs="Calibri"/>
              </w:rPr>
              <w:t>X</w:t>
            </w:r>
          </w:p>
        </w:tc>
      </w:tr>
      <w:tr w:rsidR="003B7036" w:rsidRPr="00610F28" w14:paraId="679D0367" w14:textId="77777777" w:rsidTr="5F516881">
        <w:trPr>
          <w:trHeight w:val="1160"/>
        </w:trPr>
        <w:tc>
          <w:tcPr>
            <w:tcW w:w="1066" w:type="dxa"/>
            <w:vAlign w:val="center"/>
          </w:tcPr>
          <w:p w14:paraId="0756115E" w14:textId="643FA9E4" w:rsidR="003B7036" w:rsidRPr="00610F28" w:rsidRDefault="003B7036" w:rsidP="003B7036">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3B7036" w:rsidRPr="00610F28" w:rsidRDefault="003B7036" w:rsidP="003B7036">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3B7036" w:rsidRPr="00610F28" w14:paraId="79157442" w14:textId="77777777" w:rsidTr="5F516881">
        <w:trPr>
          <w:trHeight w:val="1020"/>
        </w:trPr>
        <w:tc>
          <w:tcPr>
            <w:tcW w:w="1066" w:type="dxa"/>
            <w:vAlign w:val="center"/>
          </w:tcPr>
          <w:p w14:paraId="0D986A27" w14:textId="77777777" w:rsidR="003B7036" w:rsidRPr="00610F28" w:rsidRDefault="003B7036" w:rsidP="003B7036">
            <w:pPr>
              <w:rPr>
                <w:rFonts w:ascii="Calibri" w:hAnsi="Calibri" w:cs="Calibri"/>
              </w:rPr>
            </w:pPr>
          </w:p>
        </w:tc>
        <w:tc>
          <w:tcPr>
            <w:tcW w:w="9374" w:type="dxa"/>
            <w:gridSpan w:val="4"/>
            <w:shd w:val="clear" w:color="auto" w:fill="auto"/>
            <w:vAlign w:val="center"/>
          </w:tcPr>
          <w:p w14:paraId="2B2D0494" w14:textId="453944DE" w:rsidR="003B7036" w:rsidRPr="00871D88" w:rsidRDefault="00871D88" w:rsidP="003B7036">
            <w:pPr>
              <w:rPr>
                <w:rFonts w:ascii="Calibri" w:hAnsi="Calibri" w:cs="Calibri"/>
              </w:rPr>
            </w:pPr>
            <w:r w:rsidRPr="00871D88">
              <w:rPr>
                <w:rFonts w:ascii="Calibri" w:hAnsi="Calibri" w:cs="Calibri"/>
              </w:rPr>
              <w:t>Member States were required to bring into force the laws, regulations and administrative provisions necessary to comply with this Directive by 18 April 2016 at the latest</w:t>
            </w:r>
            <w:r>
              <w:rPr>
                <w:rFonts w:ascii="Calibri" w:hAnsi="Calibri" w:cs="Calibri"/>
              </w:rPr>
              <w:t xml:space="preserve"> </w:t>
            </w:r>
            <w:r w:rsidR="00B04972">
              <w:rPr>
                <w:rFonts w:ascii="Calibri" w:hAnsi="Calibri" w:cs="Calibri"/>
              </w:rPr>
              <w:t>(Article 90(1))</w:t>
            </w:r>
            <w:r w:rsidRPr="00871D88">
              <w:rPr>
                <w:rFonts w:ascii="Calibri" w:hAnsi="Calibri" w:cs="Calibri"/>
              </w:rPr>
              <w:t>. The Directive itself entered into force on the twentieth day following its publication in the Official Journal of the European Union.</w:t>
            </w:r>
          </w:p>
        </w:tc>
      </w:tr>
      <w:tr w:rsidR="003B7036" w:rsidRPr="00610F28" w14:paraId="5DB409C1" w14:textId="77777777" w:rsidTr="5F516881">
        <w:trPr>
          <w:trHeight w:val="1070"/>
        </w:trPr>
        <w:tc>
          <w:tcPr>
            <w:tcW w:w="1066" w:type="dxa"/>
            <w:vAlign w:val="center"/>
          </w:tcPr>
          <w:p w14:paraId="471A07A7" w14:textId="7299153E" w:rsidR="003B7036" w:rsidRPr="00610F28" w:rsidRDefault="003B7036" w:rsidP="003B7036">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3B7036" w:rsidRPr="00610F28" w:rsidRDefault="003B7036" w:rsidP="003B7036">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3B7036" w:rsidRPr="00610F28" w:rsidRDefault="003B7036" w:rsidP="003B7036">
            <w:pPr>
              <w:rPr>
                <w:rFonts w:ascii="Calibri" w:hAnsi="Calibri" w:cs="Calibri"/>
              </w:rPr>
            </w:pPr>
            <w:r w:rsidRPr="00610F28">
              <w:rPr>
                <w:rFonts w:ascii="Calibri" w:hAnsi="Calibri" w:cs="Calibri"/>
              </w:rPr>
              <w:t xml:space="preserve">Select the appropriate response using an X.   </w:t>
            </w:r>
          </w:p>
        </w:tc>
      </w:tr>
      <w:tr w:rsidR="003B7036" w:rsidRPr="00610F28" w14:paraId="4E57F3A8" w14:textId="77777777" w:rsidTr="5F516881">
        <w:trPr>
          <w:trHeight w:val="440"/>
        </w:trPr>
        <w:tc>
          <w:tcPr>
            <w:tcW w:w="1066" w:type="dxa"/>
            <w:vAlign w:val="center"/>
          </w:tcPr>
          <w:p w14:paraId="5EE72314" w14:textId="6C4FAD6D" w:rsidR="003B7036" w:rsidRPr="00610F28" w:rsidRDefault="003B7036" w:rsidP="003B7036">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3B7036" w:rsidRPr="00610F28" w:rsidRDefault="003B7036" w:rsidP="003B7036">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1CFEC88" w:rsidR="003B7036" w:rsidRPr="00610F28" w:rsidRDefault="0093341D" w:rsidP="003B7036">
            <w:pPr>
              <w:rPr>
                <w:rFonts w:ascii="Calibri" w:hAnsi="Calibri" w:cs="Calibri"/>
              </w:rPr>
            </w:pPr>
            <w:r>
              <w:rPr>
                <w:rFonts w:ascii="Calibri" w:hAnsi="Calibri" w:cs="Calibri"/>
              </w:rPr>
              <w:t>X</w:t>
            </w:r>
          </w:p>
        </w:tc>
      </w:tr>
      <w:tr w:rsidR="003B7036" w:rsidRPr="00610F28" w14:paraId="66FCE0A9" w14:textId="77777777" w:rsidTr="5F516881">
        <w:trPr>
          <w:trHeight w:val="350"/>
        </w:trPr>
        <w:tc>
          <w:tcPr>
            <w:tcW w:w="1066" w:type="dxa"/>
            <w:vAlign w:val="center"/>
          </w:tcPr>
          <w:p w14:paraId="1F2B50B8" w14:textId="2ED7799F" w:rsidR="003B7036" w:rsidRPr="00610F28" w:rsidRDefault="003B7036" w:rsidP="003B7036">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3B7036" w:rsidRPr="00610F28" w:rsidRDefault="003B7036" w:rsidP="003B703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3B7036" w:rsidRPr="00610F28" w:rsidRDefault="003B7036" w:rsidP="003B7036">
            <w:pPr>
              <w:rPr>
                <w:rFonts w:ascii="Calibri" w:hAnsi="Calibri" w:cs="Calibri"/>
              </w:rPr>
            </w:pPr>
          </w:p>
        </w:tc>
      </w:tr>
      <w:tr w:rsidR="003B7036" w:rsidRPr="00610F28" w14:paraId="544258E4" w14:textId="77777777" w:rsidTr="5F516881">
        <w:trPr>
          <w:trHeight w:val="766"/>
        </w:trPr>
        <w:tc>
          <w:tcPr>
            <w:tcW w:w="1066" w:type="dxa"/>
            <w:vAlign w:val="center"/>
          </w:tcPr>
          <w:p w14:paraId="0E4392C8" w14:textId="2612801B" w:rsidR="003B7036" w:rsidRPr="00610F28" w:rsidRDefault="003B7036" w:rsidP="003B7036">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3B7036" w:rsidRPr="00610F28" w:rsidRDefault="003B7036" w:rsidP="003B7036">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B7036" w:rsidRPr="00610F28" w14:paraId="55F51CA1" w14:textId="77777777" w:rsidTr="5F516881">
        <w:trPr>
          <w:trHeight w:val="1020"/>
        </w:trPr>
        <w:tc>
          <w:tcPr>
            <w:tcW w:w="1066" w:type="dxa"/>
            <w:vAlign w:val="center"/>
          </w:tcPr>
          <w:p w14:paraId="10590CC8" w14:textId="77777777" w:rsidR="003B7036" w:rsidRPr="00610F28" w:rsidRDefault="003B7036" w:rsidP="003B7036">
            <w:pPr>
              <w:rPr>
                <w:rFonts w:ascii="Calibri" w:hAnsi="Calibri" w:cs="Calibri"/>
              </w:rPr>
            </w:pPr>
          </w:p>
        </w:tc>
        <w:tc>
          <w:tcPr>
            <w:tcW w:w="9374" w:type="dxa"/>
            <w:gridSpan w:val="4"/>
            <w:shd w:val="clear" w:color="auto" w:fill="auto"/>
            <w:vAlign w:val="center"/>
          </w:tcPr>
          <w:p w14:paraId="434C01FD" w14:textId="77777777" w:rsidR="003B7036" w:rsidRPr="00610F28" w:rsidRDefault="003B7036" w:rsidP="003B7036">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158EC7A" w:rsidR="00DF50B5" w:rsidRPr="00610F28" w:rsidRDefault="001035EF"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4B74AC8E" w:rsidR="00DF50B5" w:rsidRPr="00610F28" w:rsidRDefault="001035EF"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32808BFE" w14:textId="5A1EA168" w:rsidR="00D21F5E" w:rsidRPr="00D21F5E" w:rsidRDefault="00D21F5E" w:rsidP="00D21F5E">
            <w:pPr>
              <w:rPr>
                <w:rFonts w:ascii="Calibri" w:hAnsi="Calibri" w:cs="Calibri"/>
                <w:b/>
                <w:bCs/>
              </w:rPr>
            </w:pPr>
            <w:r w:rsidRPr="00D21F5E">
              <w:rPr>
                <w:rFonts w:ascii="Calibri" w:hAnsi="Calibri" w:cs="Calibri"/>
                <w:b/>
                <w:bCs/>
              </w:rPr>
              <w:t xml:space="preserve">1. What the policy tool </w:t>
            </w:r>
            <w:r w:rsidR="00EB26B8">
              <w:rPr>
                <w:rFonts w:ascii="Calibri" w:hAnsi="Calibri" w:cs="Calibri"/>
                <w:b/>
                <w:bCs/>
              </w:rPr>
              <w:t>"</w:t>
            </w:r>
            <w:r w:rsidRPr="00D21F5E">
              <w:rPr>
                <w:rFonts w:ascii="Calibri" w:hAnsi="Calibri" w:cs="Calibri"/>
                <w:b/>
                <w:bCs/>
              </w:rPr>
              <w:t>requires</w:t>
            </w:r>
            <w:r w:rsidR="00677F3F">
              <w:rPr>
                <w:rFonts w:ascii="Calibri" w:hAnsi="Calibri" w:cs="Calibri"/>
                <w:b/>
                <w:bCs/>
              </w:rPr>
              <w:t>"</w:t>
            </w:r>
            <w:r w:rsidRPr="00D21F5E">
              <w:rPr>
                <w:rFonts w:ascii="Calibri" w:hAnsi="Calibri" w:cs="Calibri"/>
                <w:b/>
                <w:bCs/>
              </w:rPr>
              <w:t>:</w:t>
            </w:r>
          </w:p>
          <w:p w14:paraId="088757F5" w14:textId="77C2B390" w:rsidR="00D21F5E" w:rsidRPr="009E49AE" w:rsidRDefault="00D21F5E" w:rsidP="00A40C29">
            <w:pPr>
              <w:pStyle w:val="ListParagraph"/>
              <w:numPr>
                <w:ilvl w:val="0"/>
                <w:numId w:val="17"/>
              </w:numPr>
              <w:rPr>
                <w:rFonts w:ascii="Calibri" w:hAnsi="Calibri" w:cs="Calibri"/>
              </w:rPr>
            </w:pPr>
            <w:r w:rsidRPr="009E49AE">
              <w:rPr>
                <w:rFonts w:ascii="Calibri" w:hAnsi="Calibri" w:cs="Calibri"/>
              </w:rPr>
              <w:t>Member States must take appropriate measures to ensure that economic operators comply with the applicable obligations in the field of environmental, social and labour law under Union law, national law or collective agreements, or under the provisions of international environmental, social and labour law listed in Annex X, when performing public contracts</w:t>
            </w:r>
            <w:r w:rsidR="009C72F1" w:rsidRPr="009E49AE">
              <w:rPr>
                <w:rFonts w:ascii="Calibri" w:hAnsi="Calibri" w:cs="Calibri"/>
              </w:rPr>
              <w:t xml:space="preserve"> </w:t>
            </w:r>
            <w:r w:rsidR="00380F70" w:rsidRPr="009E49AE">
              <w:rPr>
                <w:rFonts w:ascii="Calibri" w:hAnsi="Calibri" w:cs="Calibri"/>
              </w:rPr>
              <w:t>(Article 18(2)).</w:t>
            </w:r>
          </w:p>
          <w:p w14:paraId="4B460CD2" w14:textId="2D229D33" w:rsidR="00D21F5E" w:rsidRPr="009E49AE" w:rsidRDefault="00D21F5E" w:rsidP="00A40C29">
            <w:pPr>
              <w:pStyle w:val="ListParagraph"/>
              <w:numPr>
                <w:ilvl w:val="0"/>
                <w:numId w:val="17"/>
              </w:numPr>
              <w:rPr>
                <w:rFonts w:ascii="Calibri" w:hAnsi="Calibri" w:cs="Calibri"/>
              </w:rPr>
            </w:pPr>
            <w:r w:rsidRPr="009E49AE">
              <w:rPr>
                <w:rFonts w:ascii="Calibri" w:hAnsi="Calibri" w:cs="Calibri"/>
              </w:rPr>
              <w:lastRenderedPageBreak/>
              <w:t>Contracting authorities are required to reject a tender if they have established that the abnormally low prices or costs result from non-compliance with mandatory social, labour or environmental law provisions of Union law, of national law compatible with Union law, or of international labour law provisions</w:t>
            </w:r>
            <w:r w:rsidR="009C72F1" w:rsidRPr="009E49AE">
              <w:rPr>
                <w:rFonts w:ascii="Calibri" w:hAnsi="Calibri" w:cs="Calibri"/>
              </w:rPr>
              <w:t xml:space="preserve"> </w:t>
            </w:r>
            <w:r w:rsidR="006343E4" w:rsidRPr="009E49AE">
              <w:rPr>
                <w:rFonts w:ascii="Calibri" w:hAnsi="Calibri" w:cs="Calibri"/>
              </w:rPr>
              <w:t>(Article 69(4)).</w:t>
            </w:r>
          </w:p>
          <w:p w14:paraId="3F25B747" w14:textId="570864A7" w:rsidR="00D21F5E" w:rsidRPr="00D21F5E" w:rsidRDefault="00D21F5E" w:rsidP="00D21F5E">
            <w:pPr>
              <w:rPr>
                <w:rFonts w:ascii="Calibri" w:hAnsi="Calibri" w:cs="Calibri"/>
                <w:b/>
                <w:bCs/>
              </w:rPr>
            </w:pPr>
            <w:r w:rsidRPr="00D21F5E">
              <w:rPr>
                <w:rFonts w:ascii="Calibri" w:hAnsi="Calibri" w:cs="Calibri"/>
                <w:b/>
                <w:bCs/>
              </w:rPr>
              <w:t xml:space="preserve">2. What the policy tool </w:t>
            </w:r>
            <w:r w:rsidR="00677F3F">
              <w:rPr>
                <w:rFonts w:ascii="Calibri" w:hAnsi="Calibri" w:cs="Calibri"/>
                <w:b/>
                <w:bCs/>
              </w:rPr>
              <w:t>"</w:t>
            </w:r>
            <w:r w:rsidRPr="00D21F5E">
              <w:rPr>
                <w:rFonts w:ascii="Calibri" w:hAnsi="Calibri" w:cs="Calibri"/>
                <w:b/>
                <w:bCs/>
              </w:rPr>
              <w:t>recommends</w:t>
            </w:r>
            <w:r w:rsidR="00677F3F">
              <w:rPr>
                <w:rFonts w:ascii="Calibri" w:hAnsi="Calibri" w:cs="Calibri"/>
                <w:b/>
                <w:bCs/>
              </w:rPr>
              <w:t>"</w:t>
            </w:r>
            <w:r w:rsidRPr="00D21F5E">
              <w:rPr>
                <w:rFonts w:ascii="Calibri" w:hAnsi="Calibri" w:cs="Calibri"/>
                <w:b/>
                <w:bCs/>
              </w:rPr>
              <w:t xml:space="preserve"> or </w:t>
            </w:r>
            <w:r w:rsidR="00677F3F">
              <w:rPr>
                <w:rFonts w:ascii="Calibri" w:hAnsi="Calibri" w:cs="Calibri"/>
                <w:b/>
                <w:bCs/>
              </w:rPr>
              <w:t>"</w:t>
            </w:r>
            <w:r w:rsidRPr="00D21F5E">
              <w:rPr>
                <w:rFonts w:ascii="Calibri" w:hAnsi="Calibri" w:cs="Calibri"/>
                <w:b/>
                <w:bCs/>
              </w:rPr>
              <w:t>encourages</w:t>
            </w:r>
            <w:r w:rsidR="00677F3F">
              <w:rPr>
                <w:rFonts w:ascii="Calibri" w:hAnsi="Calibri" w:cs="Calibri"/>
                <w:b/>
                <w:bCs/>
              </w:rPr>
              <w:t>"</w:t>
            </w:r>
            <w:r w:rsidRPr="00D21F5E">
              <w:rPr>
                <w:rFonts w:ascii="Calibri" w:hAnsi="Calibri" w:cs="Calibri"/>
                <w:b/>
                <w:bCs/>
              </w:rPr>
              <w:t>:</w:t>
            </w:r>
          </w:p>
          <w:p w14:paraId="24F4F8B5" w14:textId="1A5A530A" w:rsidR="00D21F5E" w:rsidRPr="009E49AE" w:rsidRDefault="00D21F5E" w:rsidP="00A40C29">
            <w:pPr>
              <w:pStyle w:val="ListParagraph"/>
              <w:numPr>
                <w:ilvl w:val="0"/>
                <w:numId w:val="16"/>
              </w:numPr>
              <w:rPr>
                <w:rFonts w:ascii="Calibri" w:hAnsi="Calibri" w:cs="Calibri"/>
              </w:rPr>
            </w:pPr>
            <w:r w:rsidRPr="009E49AE">
              <w:rPr>
                <w:rFonts w:ascii="Calibri" w:hAnsi="Calibri" w:cs="Calibri"/>
              </w:rPr>
              <w:t>The Directive states that public procurement plays an important role in the Europe 2020 strategy for smart, sustainable and inclusive growth</w:t>
            </w:r>
            <w:r w:rsidR="0056015A" w:rsidRPr="009E49AE">
              <w:rPr>
                <w:rFonts w:ascii="Calibri" w:hAnsi="Calibri" w:cs="Calibri"/>
              </w:rPr>
              <w:t xml:space="preserve">. </w:t>
            </w:r>
            <w:r w:rsidRPr="009E49AE">
              <w:rPr>
                <w:rFonts w:ascii="Calibri" w:hAnsi="Calibri" w:cs="Calibri"/>
              </w:rPr>
              <w:t>It emphasises that contracting authorities should make better use of public procurement to support common societal objectives</w:t>
            </w:r>
            <w:r w:rsidR="009C72F1" w:rsidRPr="009E49AE">
              <w:rPr>
                <w:rFonts w:ascii="Calibri" w:hAnsi="Calibri" w:cs="Calibri"/>
              </w:rPr>
              <w:t xml:space="preserve"> </w:t>
            </w:r>
            <w:r w:rsidR="0056015A" w:rsidRPr="009E49AE">
              <w:rPr>
                <w:rFonts w:ascii="Calibri" w:hAnsi="Calibri" w:cs="Calibri"/>
              </w:rPr>
              <w:t>(Paragraph 2).</w:t>
            </w:r>
          </w:p>
          <w:p w14:paraId="64F61064" w14:textId="0B8BBAA6" w:rsidR="00D21F5E" w:rsidRPr="009E49AE" w:rsidRDefault="00D21F5E" w:rsidP="00A40C29">
            <w:pPr>
              <w:pStyle w:val="ListParagraph"/>
              <w:numPr>
                <w:ilvl w:val="0"/>
                <w:numId w:val="16"/>
              </w:numPr>
              <w:rPr>
                <w:rFonts w:ascii="Calibri" w:hAnsi="Calibri" w:cs="Calibri"/>
              </w:rPr>
            </w:pPr>
            <w:r w:rsidRPr="009E49AE">
              <w:rPr>
                <w:rFonts w:ascii="Calibri" w:hAnsi="Calibri" w:cs="Calibri"/>
              </w:rPr>
              <w:t>Contracting authorities are encouraged to use public procurement strategically to promote innovation, including eco-innovation and social innovation</w:t>
            </w:r>
            <w:r w:rsidR="00692CDC" w:rsidRPr="009E49AE">
              <w:rPr>
                <w:rFonts w:ascii="Calibri" w:hAnsi="Calibri" w:cs="Calibri"/>
              </w:rPr>
              <w:t xml:space="preserve"> (Paragraph 47).</w:t>
            </w:r>
          </w:p>
          <w:p w14:paraId="4EDFC7F6" w14:textId="61F810CE" w:rsidR="00D21F5E" w:rsidRPr="009E49AE" w:rsidRDefault="00D21F5E" w:rsidP="00A40C29">
            <w:pPr>
              <w:pStyle w:val="ListParagraph"/>
              <w:numPr>
                <w:ilvl w:val="0"/>
                <w:numId w:val="16"/>
              </w:numPr>
              <w:rPr>
                <w:rFonts w:ascii="Calibri" w:hAnsi="Calibri" w:cs="Calibri"/>
              </w:rPr>
            </w:pPr>
            <w:r w:rsidRPr="009E49AE">
              <w:rPr>
                <w:rFonts w:ascii="Calibri" w:hAnsi="Calibri" w:cs="Calibri"/>
              </w:rPr>
              <w:t>Contracting authorities should be encouraged to choose award criteria that enable them to obtain high-quality supplies and services that best meet their needs. These criteria may include environmental and/or social aspects</w:t>
            </w:r>
            <w:r w:rsidR="002111A6" w:rsidRPr="009E49AE">
              <w:rPr>
                <w:rFonts w:ascii="Calibri" w:hAnsi="Calibri" w:cs="Calibri"/>
              </w:rPr>
              <w:t xml:space="preserve"> (Paragraph 92).</w:t>
            </w:r>
          </w:p>
          <w:p w14:paraId="7A06F6F7" w14:textId="53C2390E" w:rsidR="00D21F5E" w:rsidRPr="009E49AE" w:rsidRDefault="00D21F5E" w:rsidP="00A40C29">
            <w:pPr>
              <w:pStyle w:val="ListParagraph"/>
              <w:numPr>
                <w:ilvl w:val="0"/>
                <w:numId w:val="16"/>
              </w:numPr>
              <w:rPr>
                <w:rFonts w:ascii="Calibri" w:hAnsi="Calibri" w:cs="Calibri"/>
              </w:rPr>
            </w:pPr>
            <w:r w:rsidRPr="009E49AE">
              <w:rPr>
                <w:rFonts w:ascii="Calibri" w:hAnsi="Calibri" w:cs="Calibri"/>
              </w:rPr>
              <w:t>The development and use of European life-cycle costing methods shall be promoted as a further step towards the use of procurement for sustainable growth</w:t>
            </w:r>
            <w:r w:rsidR="0097233C" w:rsidRPr="009E49AE">
              <w:rPr>
                <w:rFonts w:ascii="Calibri" w:hAnsi="Calibri" w:cs="Calibri"/>
              </w:rPr>
              <w:t xml:space="preserve"> (Paragraph 95).</w:t>
            </w:r>
          </w:p>
          <w:p w14:paraId="783D5052" w14:textId="789200A0" w:rsidR="00D21F5E" w:rsidRPr="00D21F5E" w:rsidRDefault="00D21F5E" w:rsidP="00D21F5E">
            <w:pPr>
              <w:rPr>
                <w:rFonts w:ascii="Calibri" w:hAnsi="Calibri" w:cs="Calibri"/>
                <w:b/>
                <w:bCs/>
              </w:rPr>
            </w:pPr>
            <w:r w:rsidRPr="00D21F5E">
              <w:rPr>
                <w:rFonts w:ascii="Calibri" w:hAnsi="Calibri" w:cs="Calibri"/>
                <w:b/>
                <w:bCs/>
              </w:rPr>
              <w:t xml:space="preserve">3. What the policy tool </w:t>
            </w:r>
            <w:r w:rsidR="00677F3F">
              <w:rPr>
                <w:rFonts w:ascii="Calibri" w:hAnsi="Calibri" w:cs="Calibri"/>
                <w:b/>
                <w:bCs/>
              </w:rPr>
              <w:t>"</w:t>
            </w:r>
            <w:r w:rsidRPr="00D21F5E">
              <w:rPr>
                <w:rFonts w:ascii="Calibri" w:hAnsi="Calibri" w:cs="Calibri"/>
                <w:b/>
                <w:bCs/>
              </w:rPr>
              <w:t>allows</w:t>
            </w:r>
            <w:r w:rsidR="00677F3F">
              <w:rPr>
                <w:rFonts w:ascii="Calibri" w:hAnsi="Calibri" w:cs="Calibri"/>
                <w:b/>
                <w:bCs/>
              </w:rPr>
              <w:t>"</w:t>
            </w:r>
            <w:r w:rsidRPr="00D21F5E">
              <w:rPr>
                <w:rFonts w:ascii="Calibri" w:hAnsi="Calibri" w:cs="Calibri"/>
                <w:b/>
                <w:bCs/>
              </w:rPr>
              <w:t>:</w:t>
            </w:r>
          </w:p>
          <w:p w14:paraId="633F5DE3" w14:textId="1FA181C8" w:rsidR="00D21F5E" w:rsidRPr="009E49AE" w:rsidRDefault="00D21F5E" w:rsidP="00A40C29">
            <w:pPr>
              <w:pStyle w:val="ListParagraph"/>
              <w:numPr>
                <w:ilvl w:val="0"/>
                <w:numId w:val="15"/>
              </w:numPr>
              <w:rPr>
                <w:rFonts w:ascii="Calibri" w:hAnsi="Calibri" w:cs="Calibri"/>
              </w:rPr>
            </w:pPr>
            <w:r w:rsidRPr="009E49AE">
              <w:rPr>
                <w:rFonts w:ascii="Calibri" w:hAnsi="Calibri" w:cs="Calibri"/>
              </w:rPr>
              <w:t>Technical specifications may include environmental characteristics</w:t>
            </w:r>
            <w:r w:rsidR="00DE1C39" w:rsidRPr="009E49AE">
              <w:rPr>
                <w:rFonts w:ascii="Calibri" w:hAnsi="Calibri" w:cs="Calibri"/>
              </w:rPr>
              <w:t xml:space="preserve"> (Article 42(3)(a))</w:t>
            </w:r>
            <w:r w:rsidRPr="009E49AE">
              <w:rPr>
                <w:rFonts w:ascii="Calibri" w:hAnsi="Calibri" w:cs="Calibri"/>
              </w:rPr>
              <w:t>. They may also refer to the specific production process or method of execution, or a process at another stage of the life cycle, even if these factors are not part of the material essence of the works, supplies or services, provided that they are linked to the subject matter of the contract</w:t>
            </w:r>
            <w:r w:rsidR="009C72F1" w:rsidRPr="009E49AE">
              <w:rPr>
                <w:rFonts w:ascii="Calibri" w:hAnsi="Calibri" w:cs="Calibri"/>
              </w:rPr>
              <w:t xml:space="preserve"> </w:t>
            </w:r>
            <w:r w:rsidR="00365343" w:rsidRPr="009E49AE">
              <w:rPr>
                <w:rFonts w:ascii="Calibri" w:hAnsi="Calibri" w:cs="Calibri"/>
              </w:rPr>
              <w:t>(Article 42(1)).</w:t>
            </w:r>
          </w:p>
          <w:p w14:paraId="1101B04C" w14:textId="26B36C31" w:rsidR="00D21F5E" w:rsidRPr="009E49AE" w:rsidRDefault="00D21F5E" w:rsidP="00A40C29">
            <w:pPr>
              <w:pStyle w:val="ListParagraph"/>
              <w:numPr>
                <w:ilvl w:val="0"/>
                <w:numId w:val="15"/>
              </w:numPr>
              <w:rPr>
                <w:rFonts w:ascii="Calibri" w:hAnsi="Calibri" w:cs="Calibri"/>
              </w:rPr>
            </w:pPr>
            <w:r w:rsidRPr="009E49AE">
              <w:rPr>
                <w:rFonts w:ascii="Calibri" w:hAnsi="Calibri" w:cs="Calibri"/>
              </w:rPr>
              <w:t>Contracting authorities may refer to specific quality labels (such as the European Ecolabel) to demonstrate that works, services or supplies meet the required environmental standards, provided that certain conditions are met (objectively verifiable, non-discriminatory, open procedure, relevant to the subject matter of the contract)</w:t>
            </w:r>
            <w:r w:rsidR="0041568D" w:rsidRPr="009E49AE">
              <w:rPr>
                <w:rFonts w:ascii="Calibri" w:hAnsi="Calibri" w:cs="Calibri"/>
              </w:rPr>
              <w:t xml:space="preserve"> (Article 43(1)).</w:t>
            </w:r>
          </w:p>
          <w:p w14:paraId="08D51D7E" w14:textId="2E7091A0" w:rsidR="00D21F5E" w:rsidRPr="009E49AE" w:rsidRDefault="00D21F5E" w:rsidP="00A40C29">
            <w:pPr>
              <w:pStyle w:val="ListParagraph"/>
              <w:numPr>
                <w:ilvl w:val="0"/>
                <w:numId w:val="15"/>
              </w:numPr>
              <w:rPr>
                <w:rFonts w:ascii="Calibri" w:hAnsi="Calibri" w:cs="Calibri"/>
              </w:rPr>
            </w:pPr>
            <w:r w:rsidRPr="009E49AE">
              <w:rPr>
                <w:rFonts w:ascii="Calibri" w:hAnsi="Calibri" w:cs="Calibri"/>
              </w:rPr>
              <w:t>It is permitted to use life cycle cost calculation (LCC) as an award criterion. This cost calculation may include costs attributable to external environmental effects, such as greenhouse gas emissions and other polluting emissions, provided that these can be expressed in monetary terms and verified</w:t>
            </w:r>
            <w:r w:rsidR="0041568D" w:rsidRPr="009E49AE">
              <w:rPr>
                <w:rFonts w:ascii="Calibri" w:hAnsi="Calibri" w:cs="Calibri"/>
              </w:rPr>
              <w:t xml:space="preserve"> (</w:t>
            </w:r>
            <w:r w:rsidR="00A73FF8" w:rsidRPr="009E49AE">
              <w:rPr>
                <w:rFonts w:ascii="Calibri" w:hAnsi="Calibri" w:cs="Calibri"/>
              </w:rPr>
              <w:t>Article 67(2)).</w:t>
            </w:r>
          </w:p>
          <w:p w14:paraId="72D921FE" w14:textId="4E8BF529" w:rsidR="00D21F5E" w:rsidRPr="009E49AE" w:rsidRDefault="00D21F5E" w:rsidP="00A40C29">
            <w:pPr>
              <w:pStyle w:val="ListParagraph"/>
              <w:numPr>
                <w:ilvl w:val="0"/>
                <w:numId w:val="15"/>
              </w:numPr>
              <w:rPr>
                <w:rFonts w:ascii="Calibri" w:hAnsi="Calibri" w:cs="Calibri"/>
              </w:rPr>
            </w:pPr>
            <w:r w:rsidRPr="009E49AE">
              <w:rPr>
                <w:rFonts w:ascii="Calibri" w:hAnsi="Calibri" w:cs="Calibri"/>
              </w:rPr>
              <w:t>Award criteria and contract terms may include social and environmental aspects of the production process, such as the use of energy-efficient machinery, and even set requirements regarding the delivery, packaging and disposal of products, or waste reduction and efficient use of resources in works or services</w:t>
            </w:r>
            <w:r w:rsidR="00C679ED" w:rsidRPr="009E49AE">
              <w:rPr>
                <w:rFonts w:ascii="Calibri" w:hAnsi="Calibri" w:cs="Calibri"/>
              </w:rPr>
              <w:t xml:space="preserve"> (Paragraph 97).</w:t>
            </w:r>
          </w:p>
          <w:p w14:paraId="0F79EAA0" w14:textId="77777777" w:rsidR="009E49AE" w:rsidRDefault="00D21F5E" w:rsidP="00A40C29">
            <w:pPr>
              <w:pStyle w:val="ListParagraph"/>
              <w:numPr>
                <w:ilvl w:val="0"/>
                <w:numId w:val="15"/>
              </w:numPr>
              <w:rPr>
                <w:rFonts w:ascii="Calibri" w:hAnsi="Calibri" w:cs="Calibri"/>
              </w:rPr>
            </w:pPr>
            <w:r w:rsidRPr="009E49AE">
              <w:rPr>
                <w:rFonts w:ascii="Calibri" w:hAnsi="Calibri" w:cs="Calibri"/>
              </w:rPr>
              <w:t>The Directive emphasises that no provision in the Directive prevents environmental measures from being prescribed or applied, in particular with a view to sustainable development, provided that they are in accordance with the TFEU</w:t>
            </w:r>
            <w:r w:rsidR="0012020C" w:rsidRPr="009E49AE">
              <w:rPr>
                <w:rFonts w:ascii="Calibri" w:hAnsi="Calibri" w:cs="Calibri"/>
              </w:rPr>
              <w:t xml:space="preserve"> </w:t>
            </w:r>
            <w:r w:rsidR="00606F29" w:rsidRPr="009E49AE">
              <w:rPr>
                <w:rFonts w:ascii="Calibri" w:hAnsi="Calibri" w:cs="Calibri"/>
              </w:rPr>
              <w:t>(Paragraph 41).</w:t>
            </w:r>
          </w:p>
          <w:p w14:paraId="04345F77" w14:textId="4227E49B" w:rsidR="00DF50B5" w:rsidRPr="009E49AE" w:rsidRDefault="00D21F5E" w:rsidP="00A40C29">
            <w:pPr>
              <w:pStyle w:val="ListParagraph"/>
              <w:numPr>
                <w:ilvl w:val="0"/>
                <w:numId w:val="15"/>
              </w:numPr>
              <w:rPr>
                <w:rFonts w:ascii="Calibri" w:hAnsi="Calibri" w:cs="Calibri"/>
              </w:rPr>
            </w:pPr>
            <w:r w:rsidRPr="009E49AE">
              <w:rPr>
                <w:rFonts w:ascii="Calibri" w:hAnsi="Calibri" w:cs="Calibri"/>
              </w:rPr>
              <w:t>Member States may decide that contracting authorities may not use price or costs as the sole award criterion or may limit their use to certain categories of contracting authorities or certain types of contracts, in order to place greater emphasis on quality</w:t>
            </w:r>
            <w:r w:rsidR="00666A4B" w:rsidRPr="009E49AE">
              <w:rPr>
                <w:rFonts w:ascii="Calibri" w:hAnsi="Calibri" w:cs="Calibri"/>
              </w:rPr>
              <w:t xml:space="preserve"> </w:t>
            </w:r>
            <w:r w:rsidR="007F7223" w:rsidRPr="009E49AE">
              <w:rPr>
                <w:rFonts w:ascii="Calibri" w:hAnsi="Calibri" w:cs="Calibri"/>
              </w:rPr>
              <w:t>(Paragraph 90).</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4382874" w:rsidR="00DF50B5" w:rsidRPr="00610F28" w:rsidRDefault="007B3980"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974B0A7" w:rsidR="00DF50B5" w:rsidRPr="00610F28" w:rsidRDefault="007B3980"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CA9A739" w:rsidR="00DF50B5" w:rsidRPr="00610F28" w:rsidRDefault="007B3980"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3810429" w:rsidR="00DF50B5" w:rsidRPr="00610F28" w:rsidRDefault="007B3980"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7895331" w:rsidR="00DF50B5" w:rsidRPr="00610F28" w:rsidRDefault="007B3980"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3A493E6A" w:rsidR="00DF50B5" w:rsidRPr="00610F28" w:rsidRDefault="007B3980"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51F2A9A8"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5637024" w:rsidR="00DF50B5" w:rsidRPr="00610F28" w:rsidRDefault="001B43CE"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253A8AFC"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2D1F450" w:rsidR="00DF50B5" w:rsidRPr="00610F28" w:rsidRDefault="001B43CE"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B58694D" w:rsidR="00DF50B5" w:rsidRPr="00610F28" w:rsidRDefault="00B53D6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794F950" w:rsidR="00DF50B5" w:rsidRPr="00610F28" w:rsidRDefault="00496B4D"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0ADA35F3" w:rsidR="00DF50B5" w:rsidRPr="00610F28" w:rsidRDefault="005D2430" w:rsidP="00610F28">
            <w:pPr>
              <w:rPr>
                <w:rFonts w:ascii="Calibri" w:hAnsi="Calibri" w:cs="Calibri"/>
              </w:rPr>
            </w:pPr>
            <w:r>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16877CB2" w:rsidR="00DF50B5" w:rsidRPr="00610F28" w:rsidRDefault="00D256E7"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FB77175" w:rsidR="00DF50B5" w:rsidRPr="00610F28" w:rsidRDefault="00173A8A"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27DEE62" w14:textId="23AEDA03" w:rsidR="004F0882" w:rsidRPr="004F0882" w:rsidRDefault="00794B0F" w:rsidP="00794B0F">
            <w:pPr>
              <w:rPr>
                <w:rFonts w:ascii="Calibri" w:hAnsi="Calibri" w:cs="Calibri"/>
                <w:b/>
                <w:bCs/>
              </w:rPr>
            </w:pPr>
            <w:r w:rsidRPr="00794B0F">
              <w:rPr>
                <w:rFonts w:ascii="Calibri" w:hAnsi="Calibri" w:cs="Calibri"/>
                <w:b/>
                <w:bCs/>
              </w:rPr>
              <w:t xml:space="preserve">1. </w:t>
            </w:r>
            <w:r w:rsidR="0061279C" w:rsidRPr="0061279C">
              <w:rPr>
                <w:rFonts w:ascii="Calibri" w:hAnsi="Calibri" w:cs="Calibri"/>
                <w:b/>
                <w:bCs/>
              </w:rPr>
              <w:t xml:space="preserve">Preliminary market consultations </w:t>
            </w:r>
            <w:r w:rsidRPr="00794B0F">
              <w:rPr>
                <w:rFonts w:ascii="Calibri" w:hAnsi="Calibri" w:cs="Calibri"/>
                <w:b/>
                <w:bCs/>
              </w:rPr>
              <w:t>(Article 40):</w:t>
            </w:r>
          </w:p>
          <w:p w14:paraId="7B01906F" w14:textId="3E1E10F9" w:rsidR="00794B0F" w:rsidRPr="00794B0F" w:rsidRDefault="00794B0F" w:rsidP="00794B0F">
            <w:pPr>
              <w:rPr>
                <w:rFonts w:ascii="Calibri" w:hAnsi="Calibri" w:cs="Calibri"/>
              </w:rPr>
            </w:pPr>
            <w:r w:rsidRPr="00794B0F">
              <w:rPr>
                <w:rFonts w:ascii="Calibri" w:hAnsi="Calibri" w:cs="Calibri"/>
              </w:rPr>
              <w:t xml:space="preserve">Before launching a procurement procedure, contracting authorities </w:t>
            </w:r>
            <w:r w:rsidRPr="00794B0F">
              <w:rPr>
                <w:rFonts w:ascii="Calibri" w:hAnsi="Calibri" w:cs="Calibri"/>
                <w:i/>
                <w:iCs/>
              </w:rPr>
              <w:t>may</w:t>
            </w:r>
            <w:r w:rsidRPr="00794B0F">
              <w:rPr>
                <w:rFonts w:ascii="Calibri" w:hAnsi="Calibri" w:cs="Calibri"/>
              </w:rPr>
              <w:t xml:space="preserve"> conduct market consultations. The purpose of this is to inform economic operators of their procurement plans and conditions and to seek or receive advice from experts, bodies or market participants. This advice can then be used in the planning and implementation of the procurement procedure.</w:t>
            </w:r>
          </w:p>
          <w:p w14:paraId="060EFA3F" w14:textId="08FB5CDC" w:rsidR="00794B0F" w:rsidRPr="00794B0F" w:rsidRDefault="00794B0F" w:rsidP="00794B0F">
            <w:pPr>
              <w:rPr>
                <w:rFonts w:ascii="Calibri" w:hAnsi="Calibri" w:cs="Calibri"/>
              </w:rPr>
            </w:pPr>
            <w:r w:rsidRPr="00794B0F">
              <w:rPr>
                <w:rFonts w:ascii="Calibri" w:hAnsi="Calibri" w:cs="Calibri"/>
              </w:rPr>
              <w:t>Although climate considerations are not explicitly mentioned here as a mandatory subject, this instrument fits in well with the general objective of the Directive to promote sustainable growth and eco-innovation. A contracting authority can use these consultations to gauge what innovative and climate-friendly solutions the market has to offer and how these can best be integrated into the procurement.</w:t>
            </w:r>
          </w:p>
          <w:p w14:paraId="07A3098C" w14:textId="78C2D88E" w:rsidR="00794B0F" w:rsidRPr="00794B0F" w:rsidRDefault="00794B0F" w:rsidP="00794B0F">
            <w:pPr>
              <w:rPr>
                <w:rFonts w:ascii="Calibri" w:hAnsi="Calibri" w:cs="Calibri"/>
                <w:b/>
                <w:bCs/>
              </w:rPr>
            </w:pPr>
            <w:r w:rsidRPr="00794B0F">
              <w:rPr>
                <w:rFonts w:ascii="Calibri" w:hAnsi="Calibri" w:cs="Calibri"/>
                <w:b/>
                <w:bCs/>
              </w:rPr>
              <w:t xml:space="preserve">2. Technical </w:t>
            </w:r>
            <w:r w:rsidR="0061279C">
              <w:rPr>
                <w:rFonts w:ascii="Calibri" w:hAnsi="Calibri" w:cs="Calibri"/>
                <w:b/>
                <w:bCs/>
              </w:rPr>
              <w:t>s</w:t>
            </w:r>
            <w:r w:rsidRPr="00794B0F">
              <w:rPr>
                <w:rFonts w:ascii="Calibri" w:hAnsi="Calibri" w:cs="Calibri"/>
                <w:b/>
                <w:bCs/>
              </w:rPr>
              <w:t>pecifications (Article 42):</w:t>
            </w:r>
          </w:p>
          <w:p w14:paraId="14B1FE5A" w14:textId="6DDEC5D0" w:rsidR="00794B0F" w:rsidRPr="00794B0F" w:rsidRDefault="00794B0F" w:rsidP="00794B0F">
            <w:pPr>
              <w:rPr>
                <w:rFonts w:ascii="Calibri" w:hAnsi="Calibri" w:cs="Calibri"/>
              </w:rPr>
            </w:pPr>
            <w:r w:rsidRPr="00794B0F">
              <w:rPr>
                <w:rFonts w:ascii="Calibri" w:hAnsi="Calibri" w:cs="Calibri"/>
              </w:rPr>
              <w:t xml:space="preserve">In the planning phase, contracting authorities draw up the technical specifications. These </w:t>
            </w:r>
            <w:r w:rsidRPr="00794B0F">
              <w:rPr>
                <w:rFonts w:ascii="Calibri" w:hAnsi="Calibri" w:cs="Calibri"/>
                <w:i/>
                <w:iCs/>
              </w:rPr>
              <w:t>may</w:t>
            </w:r>
            <w:r w:rsidRPr="00794B0F">
              <w:rPr>
                <w:rFonts w:ascii="Calibri" w:hAnsi="Calibri" w:cs="Calibri"/>
              </w:rPr>
              <w:t xml:space="preserve"> prescribe the environmental characteristics and climate performance of the product, service or work. This can be done either through performance or functional requirements (which leave room for innovation) or by reference to standards.</w:t>
            </w:r>
          </w:p>
          <w:p w14:paraId="0B7788E8" w14:textId="03852073" w:rsidR="00794B0F" w:rsidRPr="00794B0F" w:rsidRDefault="00794B0F" w:rsidP="00794B0F">
            <w:pPr>
              <w:rPr>
                <w:rFonts w:ascii="Calibri" w:hAnsi="Calibri" w:cs="Calibri"/>
              </w:rPr>
            </w:pPr>
            <w:r w:rsidRPr="00794B0F">
              <w:rPr>
                <w:rFonts w:ascii="Calibri" w:hAnsi="Calibri" w:cs="Calibri"/>
              </w:rPr>
              <w:t>This is a tool for setting climate mitigation requirements. For example, by requiring a certain energy efficiency for equipment, the use of sustainable materials with a low carbon footprint, or specific production processes that cause fewer emissions. These are then requirements that tenders must meet in order to be considered compliant.</w:t>
            </w:r>
          </w:p>
          <w:p w14:paraId="03CBE754" w14:textId="0C8BB0E4" w:rsidR="00794B0F" w:rsidRPr="00794B0F" w:rsidRDefault="00794B0F" w:rsidP="00794B0F">
            <w:pPr>
              <w:rPr>
                <w:rFonts w:ascii="Calibri" w:hAnsi="Calibri" w:cs="Calibri"/>
                <w:b/>
                <w:bCs/>
              </w:rPr>
            </w:pPr>
            <w:r w:rsidRPr="00794B0F">
              <w:rPr>
                <w:rFonts w:ascii="Calibri" w:hAnsi="Calibri" w:cs="Calibri"/>
                <w:b/>
                <w:bCs/>
              </w:rPr>
              <w:lastRenderedPageBreak/>
              <w:t xml:space="preserve">3. </w:t>
            </w:r>
            <w:r w:rsidR="007C5306">
              <w:rPr>
                <w:rFonts w:ascii="Calibri" w:hAnsi="Calibri" w:cs="Calibri"/>
                <w:b/>
                <w:bCs/>
              </w:rPr>
              <w:t>Contract a</w:t>
            </w:r>
            <w:r w:rsidRPr="00794B0F">
              <w:rPr>
                <w:rFonts w:ascii="Calibri" w:hAnsi="Calibri" w:cs="Calibri"/>
                <w:b/>
                <w:bCs/>
              </w:rPr>
              <w:t>ward criteria – Life</w:t>
            </w:r>
            <w:r w:rsidR="007C5306">
              <w:rPr>
                <w:rFonts w:ascii="Calibri" w:hAnsi="Calibri" w:cs="Calibri"/>
                <w:b/>
                <w:bCs/>
              </w:rPr>
              <w:t>-</w:t>
            </w:r>
            <w:r w:rsidRPr="00794B0F">
              <w:rPr>
                <w:rFonts w:ascii="Calibri" w:hAnsi="Calibri" w:cs="Calibri"/>
                <w:b/>
                <w:bCs/>
              </w:rPr>
              <w:t xml:space="preserve">cycle </w:t>
            </w:r>
            <w:r w:rsidR="007C5306">
              <w:rPr>
                <w:rFonts w:ascii="Calibri" w:hAnsi="Calibri" w:cs="Calibri"/>
                <w:b/>
                <w:bCs/>
              </w:rPr>
              <w:t>costing</w:t>
            </w:r>
            <w:r w:rsidRPr="00794B0F">
              <w:rPr>
                <w:rFonts w:ascii="Calibri" w:hAnsi="Calibri" w:cs="Calibri"/>
                <w:b/>
                <w:bCs/>
              </w:rPr>
              <w:t xml:space="preserve"> (Articles 67 and 68):</w:t>
            </w:r>
          </w:p>
          <w:p w14:paraId="40763A16" w14:textId="56D57B38" w:rsidR="00794B0F" w:rsidRPr="00794B0F" w:rsidRDefault="00794B0F" w:rsidP="00794B0F">
            <w:pPr>
              <w:rPr>
                <w:rFonts w:ascii="Calibri" w:hAnsi="Calibri" w:cs="Calibri"/>
              </w:rPr>
            </w:pPr>
            <w:r w:rsidRPr="00794B0F">
              <w:rPr>
                <w:rFonts w:ascii="Calibri" w:hAnsi="Calibri" w:cs="Calibri"/>
              </w:rPr>
              <w:t xml:space="preserve">Contracting authorities </w:t>
            </w:r>
            <w:r w:rsidRPr="00794B0F">
              <w:rPr>
                <w:rFonts w:ascii="Calibri" w:hAnsi="Calibri" w:cs="Calibri"/>
                <w:i/>
                <w:iCs/>
              </w:rPr>
              <w:t>may</w:t>
            </w:r>
            <w:r w:rsidRPr="00794B0F">
              <w:rPr>
                <w:rFonts w:ascii="Calibri" w:hAnsi="Calibri" w:cs="Calibri"/>
              </w:rPr>
              <w:t xml:space="preserve"> determine the most economically advantageous tender on the basis of price or costs, including cost-effectiveness such as life-cycle costs. Life-cycle costs </w:t>
            </w:r>
            <w:r w:rsidRPr="00794B0F">
              <w:rPr>
                <w:rFonts w:ascii="Calibri" w:hAnsi="Calibri" w:cs="Calibri"/>
                <w:i/>
                <w:iCs/>
              </w:rPr>
              <w:t>may</w:t>
            </w:r>
            <w:r w:rsidRPr="00794B0F">
              <w:rPr>
                <w:rFonts w:ascii="Calibri" w:hAnsi="Calibri" w:cs="Calibri"/>
              </w:rPr>
              <w:t xml:space="preserve"> include all internal and external costs, including those attributable to external environmental effects, such as greenhouse gas emissions and other polluting emissions. The methods for estimating these external costs must be objectively verifiable, non-discriminatory and accessible.</w:t>
            </w:r>
          </w:p>
          <w:p w14:paraId="129F3D27" w14:textId="348C85B5" w:rsidR="00794B0F" w:rsidRPr="00794B0F" w:rsidRDefault="00794B0F" w:rsidP="00794B0F">
            <w:pPr>
              <w:rPr>
                <w:rFonts w:ascii="Calibri" w:hAnsi="Calibri" w:cs="Calibri"/>
              </w:rPr>
            </w:pPr>
            <w:r w:rsidRPr="00794B0F">
              <w:rPr>
                <w:rFonts w:ascii="Calibri" w:hAnsi="Calibri" w:cs="Calibri"/>
              </w:rPr>
              <w:t xml:space="preserve">Common methods for calculating life-cycle costs for certain categories of supplies or services </w:t>
            </w:r>
            <w:r w:rsidRPr="00794B0F">
              <w:rPr>
                <w:rFonts w:ascii="Calibri" w:hAnsi="Calibri" w:cs="Calibri"/>
                <w:i/>
                <w:iCs/>
              </w:rPr>
              <w:t>must</w:t>
            </w:r>
            <w:r w:rsidRPr="00794B0F">
              <w:rPr>
                <w:rFonts w:ascii="Calibri" w:hAnsi="Calibri" w:cs="Calibri"/>
              </w:rPr>
              <w:t xml:space="preserve"> be developed at Union level, and when developed, their use must be made mandatory.</w:t>
            </w:r>
          </w:p>
          <w:p w14:paraId="01F9CEDF" w14:textId="6CE22813" w:rsidR="00794B0F" w:rsidRPr="00794B0F" w:rsidRDefault="00794B0F" w:rsidP="00794B0F">
            <w:pPr>
              <w:rPr>
                <w:rFonts w:ascii="Calibri" w:hAnsi="Calibri" w:cs="Calibri"/>
              </w:rPr>
            </w:pPr>
            <w:r w:rsidRPr="00794B0F">
              <w:rPr>
                <w:rFonts w:ascii="Calibri" w:hAnsi="Calibri" w:cs="Calibri"/>
              </w:rPr>
              <w:t>In the planning phase, the contracting authority decides whether and how LCC will be applied. If LCC is applied, it is also defined what data the tenderers must provide and how the contracting authority will calculate the costs. This enables them to take into account the costs of emissions throughout the life cycle of the product, work or service in the award decision, thereby creating a financial advantage for solutions with lower emissions. This is a powerful way to encourage climate mitigation.</w:t>
            </w:r>
          </w:p>
          <w:p w14:paraId="67820259" w14:textId="77777777" w:rsidR="00794B0F" w:rsidRPr="00794B0F" w:rsidRDefault="00794B0F" w:rsidP="00794B0F">
            <w:pPr>
              <w:rPr>
                <w:rFonts w:ascii="Calibri" w:hAnsi="Calibri" w:cs="Calibri"/>
                <w:b/>
                <w:bCs/>
              </w:rPr>
            </w:pPr>
            <w:r w:rsidRPr="00794B0F">
              <w:rPr>
                <w:rFonts w:ascii="Calibri" w:hAnsi="Calibri" w:cs="Calibri"/>
                <w:b/>
                <w:bCs/>
              </w:rPr>
              <w:t>4. Labels (Article 43):</w:t>
            </w:r>
          </w:p>
          <w:p w14:paraId="01A0F92A" w14:textId="7A353951" w:rsidR="00794B0F" w:rsidRPr="00794B0F" w:rsidRDefault="00794B0F" w:rsidP="00794B0F">
            <w:pPr>
              <w:rPr>
                <w:rFonts w:ascii="Calibri" w:hAnsi="Calibri" w:cs="Calibri"/>
              </w:rPr>
            </w:pPr>
            <w:r w:rsidRPr="00794B0F">
              <w:rPr>
                <w:rFonts w:ascii="Calibri" w:hAnsi="Calibri" w:cs="Calibri"/>
              </w:rPr>
              <w:t xml:space="preserve">Contracting authorities </w:t>
            </w:r>
            <w:r w:rsidRPr="00794B0F">
              <w:rPr>
                <w:rFonts w:ascii="Calibri" w:hAnsi="Calibri" w:cs="Calibri"/>
                <w:i/>
                <w:iCs/>
              </w:rPr>
              <w:t>may</w:t>
            </w:r>
            <w:r w:rsidRPr="00794B0F">
              <w:rPr>
                <w:rFonts w:ascii="Calibri" w:hAnsi="Calibri" w:cs="Calibri"/>
              </w:rPr>
              <w:t xml:space="preserve"> require a specific label in the technical specifications or award criteria as proof of compliance with the required environmental (and social) requirements. This is permitted provided that the quality label requirements are related to the subject matter of the contract, are based on objectively verifiable and non-discriminatory criteria, and the quality label is accessible and available to all interested parties.</w:t>
            </w:r>
          </w:p>
          <w:p w14:paraId="275817DA" w14:textId="092011A0" w:rsidR="00794B0F" w:rsidRPr="00794B0F" w:rsidRDefault="00794B0F" w:rsidP="00794B0F">
            <w:pPr>
              <w:rPr>
                <w:rFonts w:ascii="Calibri" w:hAnsi="Calibri" w:cs="Calibri"/>
                <w:b/>
                <w:bCs/>
              </w:rPr>
            </w:pPr>
            <w:r w:rsidRPr="00794B0F">
              <w:rPr>
                <w:rFonts w:ascii="Calibri" w:hAnsi="Calibri" w:cs="Calibri"/>
                <w:b/>
                <w:bCs/>
              </w:rPr>
              <w:t xml:space="preserve">5. </w:t>
            </w:r>
            <w:r w:rsidR="00EE0847" w:rsidRPr="00EE0847">
              <w:rPr>
                <w:rFonts w:ascii="Calibri" w:hAnsi="Calibri" w:cs="Calibri"/>
                <w:b/>
                <w:bCs/>
              </w:rPr>
              <w:t xml:space="preserve">Conditions for performance of contracts </w:t>
            </w:r>
            <w:r w:rsidRPr="00794B0F">
              <w:rPr>
                <w:rFonts w:ascii="Calibri" w:hAnsi="Calibri" w:cs="Calibri"/>
                <w:b/>
                <w:bCs/>
              </w:rPr>
              <w:t>(Article 70):</w:t>
            </w:r>
          </w:p>
          <w:p w14:paraId="7997DEF2" w14:textId="2B5D7125" w:rsidR="00794B0F" w:rsidRPr="00794B0F" w:rsidRDefault="00794B0F" w:rsidP="00794B0F">
            <w:pPr>
              <w:rPr>
                <w:rFonts w:ascii="Calibri" w:hAnsi="Calibri" w:cs="Calibri"/>
              </w:rPr>
            </w:pPr>
            <w:r w:rsidRPr="00794B0F">
              <w:rPr>
                <w:rFonts w:ascii="Calibri" w:hAnsi="Calibri" w:cs="Calibri"/>
              </w:rPr>
              <w:t xml:space="preserve">Contracting authorities </w:t>
            </w:r>
            <w:r w:rsidRPr="00794B0F">
              <w:rPr>
                <w:rFonts w:ascii="Calibri" w:hAnsi="Calibri" w:cs="Calibri"/>
                <w:i/>
                <w:iCs/>
              </w:rPr>
              <w:t>may</w:t>
            </w:r>
            <w:r w:rsidRPr="00794B0F">
              <w:rPr>
                <w:rFonts w:ascii="Calibri" w:hAnsi="Calibri" w:cs="Calibri"/>
              </w:rPr>
              <w:t xml:space="preserve"> attach special conditions to the performance of a contract, provided that they are related to the subject matter of the contract and are mentioned in the call for competition or in the tender documents. These conditions </w:t>
            </w:r>
            <w:r w:rsidRPr="00794B0F">
              <w:rPr>
                <w:rFonts w:ascii="Calibri" w:hAnsi="Calibri" w:cs="Calibri"/>
                <w:i/>
                <w:iCs/>
              </w:rPr>
              <w:t>may</w:t>
            </w:r>
            <w:r w:rsidRPr="00794B0F">
              <w:rPr>
                <w:rFonts w:ascii="Calibri" w:hAnsi="Calibri" w:cs="Calibri"/>
              </w:rPr>
              <w:t xml:space="preserve"> relate, among other things, to environmental considerations.</w:t>
            </w:r>
          </w:p>
          <w:p w14:paraId="02047A08" w14:textId="3AAACAA0" w:rsidR="00DF50B5" w:rsidRPr="0097596F" w:rsidRDefault="00794B0F" w:rsidP="00610F28">
            <w:pPr>
              <w:rPr>
                <w:rFonts w:ascii="Calibri" w:hAnsi="Calibri" w:cs="Calibri"/>
              </w:rPr>
            </w:pPr>
            <w:r w:rsidRPr="00794B0F">
              <w:rPr>
                <w:rFonts w:ascii="Calibri" w:hAnsi="Calibri" w:cs="Calibri"/>
              </w:rPr>
              <w:t>Although this relates to the implementation phase, the decision to include such conditions must be taken and communicated at the planning stage. This enables the contracting authority to impose requirements during the term of the contract on, for example, CO2-neutral transport, waste reduction or energy-efficient use, which directly contributes to climate mitigation.</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3B9675BB"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lastRenderedPageBreak/>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62F6A84"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4160CCA"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2AE8DD80" w:rsidR="00A56BE5" w:rsidRPr="00971C0E" w:rsidRDefault="003C4F4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42863BE9" w:rsidR="00A56BE5" w:rsidRPr="00971C0E" w:rsidRDefault="003C4F4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62E3A9D7" w:rsidR="00A56BE5" w:rsidRPr="00971C0E" w:rsidRDefault="0016469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38628764" w14:textId="32422FFC" w:rsidR="00F727A8" w:rsidRPr="00F727A8" w:rsidRDefault="00FB2CB2" w:rsidP="00FB2CB2">
            <w:pPr>
              <w:rPr>
                <w:rStyle w:val="Heading1Char"/>
                <w:rFonts w:cstheme="minorHAnsi"/>
                <w:b w:val="0"/>
                <w:bCs/>
                <w:color w:val="000000"/>
                <w:sz w:val="24"/>
                <w:szCs w:val="24"/>
              </w:rPr>
            </w:pPr>
            <w:r w:rsidRPr="00FB2CB2">
              <w:rPr>
                <w:rFonts w:cstheme="minorHAnsi"/>
                <w:b/>
                <w:bCs/>
                <w:color w:val="000000"/>
                <w:shd w:val="clear" w:color="auto" w:fill="FFFFFF"/>
              </w:rPr>
              <w:t xml:space="preserve">1. </w:t>
            </w:r>
            <w:r w:rsidR="00F727A8" w:rsidRPr="00F727A8">
              <w:rPr>
                <w:rStyle w:val="normaltextrun"/>
                <w:rFonts w:cstheme="minorHAnsi"/>
                <w:b/>
                <w:bCs/>
                <w:lang w:val="en-US"/>
              </w:rPr>
              <w:t>The use of life-cycle/whole-life costing to capture climate-related impacts</w:t>
            </w:r>
          </w:p>
          <w:p w14:paraId="45219A90" w14:textId="009C73A3" w:rsidR="00FB2CB2" w:rsidRPr="00FB2CB2" w:rsidRDefault="00FB2CB2" w:rsidP="009F54EA">
            <w:pPr>
              <w:jc w:val="both"/>
              <w:rPr>
                <w:rFonts w:cstheme="minorHAnsi"/>
                <w:color w:val="000000"/>
                <w:shd w:val="clear" w:color="auto" w:fill="FFFFFF"/>
              </w:rPr>
            </w:pPr>
            <w:r w:rsidRPr="00FB2CB2">
              <w:rPr>
                <w:rFonts w:cstheme="minorHAnsi"/>
                <w:color w:val="000000"/>
                <w:shd w:val="clear" w:color="auto" w:fill="FFFFFF"/>
              </w:rPr>
              <w:t>The policy instrument explicitly allows and facilitates the inclusion of climate-related impacts in the calculation of life cycle costs</w:t>
            </w:r>
            <w:r w:rsidR="0023347C">
              <w:rPr>
                <w:rFonts w:cstheme="minorHAnsi"/>
                <w:color w:val="000000"/>
                <w:shd w:val="clear" w:color="auto" w:fill="FFFFFF"/>
              </w:rPr>
              <w:t>.</w:t>
            </w:r>
          </w:p>
          <w:p w14:paraId="353357FC" w14:textId="719EE09B" w:rsidR="00FB2CB2" w:rsidRPr="009E49AE" w:rsidRDefault="00FB2CB2" w:rsidP="00A40C29">
            <w:pPr>
              <w:pStyle w:val="ListParagraph"/>
              <w:numPr>
                <w:ilvl w:val="0"/>
                <w:numId w:val="13"/>
              </w:numPr>
              <w:rPr>
                <w:rFonts w:cstheme="minorHAnsi"/>
                <w:color w:val="000000"/>
                <w:shd w:val="clear" w:color="auto" w:fill="FFFFFF"/>
              </w:rPr>
            </w:pPr>
            <w:r w:rsidRPr="009E49AE">
              <w:rPr>
                <w:rFonts w:cstheme="minorHAnsi"/>
                <w:color w:val="000000"/>
                <w:shd w:val="clear" w:color="auto" w:fill="FFFFFF"/>
              </w:rPr>
              <w:t>The concept of ‘life cycle’ is very broadly defined and includes all successive and/or interconnected stages in the existence of a product, work or service. This starts with the acquisition of raw materials or the generation of resources and extends to disposal, clean-up and the end-of-service or end-of-use phase</w:t>
            </w:r>
            <w:r w:rsidR="00A9270F" w:rsidRPr="009E49AE">
              <w:rPr>
                <w:rFonts w:cstheme="minorHAnsi"/>
                <w:color w:val="000000"/>
                <w:shd w:val="clear" w:color="auto" w:fill="FFFFFF"/>
              </w:rPr>
              <w:t xml:space="preserve"> (Paragraph 20).</w:t>
            </w:r>
          </w:p>
          <w:p w14:paraId="0DC337F1" w14:textId="3DCD659C" w:rsidR="00FB2CB2" w:rsidRPr="009E49AE" w:rsidRDefault="00FB2CB2" w:rsidP="00A40C29">
            <w:pPr>
              <w:pStyle w:val="ListParagraph"/>
              <w:numPr>
                <w:ilvl w:val="0"/>
                <w:numId w:val="13"/>
              </w:numPr>
              <w:rPr>
                <w:rFonts w:cstheme="minorHAnsi"/>
                <w:color w:val="000000"/>
                <w:shd w:val="clear" w:color="auto" w:fill="FFFFFF"/>
              </w:rPr>
            </w:pPr>
            <w:r w:rsidRPr="009E49AE">
              <w:rPr>
                <w:rFonts w:cstheme="minorHAnsi"/>
                <w:color w:val="000000"/>
                <w:shd w:val="clear" w:color="auto" w:fill="FFFFFF"/>
              </w:rPr>
              <w:t>Life cycle costs may include costs attributable to external environmental impacts, such as:</w:t>
            </w:r>
          </w:p>
          <w:p w14:paraId="1545C06A" w14:textId="5B62BB61"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greenhouse gas emissions</w:t>
            </w:r>
            <w:r w:rsidR="00262E77" w:rsidRPr="009E49AE">
              <w:rPr>
                <w:rFonts w:cstheme="minorHAnsi"/>
                <w:color w:val="000000"/>
                <w:shd w:val="clear" w:color="auto" w:fill="FFFFFF"/>
              </w:rPr>
              <w:t xml:space="preserve"> (Article 68(1)(b).</w:t>
            </w:r>
          </w:p>
          <w:p w14:paraId="2FF36E43" w14:textId="2DC91514"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other pollutant emissions</w:t>
            </w:r>
            <w:r w:rsidR="00262E77" w:rsidRPr="009E49AE">
              <w:rPr>
                <w:rFonts w:cstheme="minorHAnsi"/>
                <w:color w:val="000000"/>
                <w:shd w:val="clear" w:color="auto" w:fill="FFFFFF"/>
              </w:rPr>
              <w:t xml:space="preserve"> (Article 68(1)(b).</w:t>
            </w:r>
          </w:p>
          <w:p w14:paraId="28D9CC52" w14:textId="29889337"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other costs for combating climate change</w:t>
            </w:r>
            <w:r w:rsidR="00262E77" w:rsidRPr="009E49AE">
              <w:rPr>
                <w:rFonts w:cstheme="minorHAnsi"/>
                <w:color w:val="000000"/>
                <w:shd w:val="clear" w:color="auto" w:fill="FFFFFF"/>
              </w:rPr>
              <w:t xml:space="preserve"> (Article 68(1)(b).</w:t>
            </w:r>
          </w:p>
          <w:p w14:paraId="4680204F" w14:textId="38704228"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pollution caused by the extraction of raw materials used in the product, by the product itself or during its production</w:t>
            </w:r>
            <w:r w:rsidR="00E15420" w:rsidRPr="009E49AE">
              <w:rPr>
                <w:rFonts w:cstheme="minorHAnsi"/>
                <w:color w:val="000000"/>
                <w:shd w:val="clear" w:color="auto" w:fill="FFFFFF"/>
              </w:rPr>
              <w:t xml:space="preserve"> (</w:t>
            </w:r>
            <w:r w:rsidR="00AD03AA" w:rsidRPr="009E49AE">
              <w:rPr>
                <w:rFonts w:cstheme="minorHAnsi"/>
                <w:color w:val="000000"/>
                <w:shd w:val="clear" w:color="auto" w:fill="FFFFFF"/>
              </w:rPr>
              <w:t>Paragraph 96)</w:t>
            </w:r>
            <w:r w:rsidR="00E15420" w:rsidRPr="009E49AE">
              <w:rPr>
                <w:rFonts w:cstheme="minorHAnsi"/>
                <w:color w:val="000000"/>
                <w:shd w:val="clear" w:color="auto" w:fill="FFFFFF"/>
              </w:rPr>
              <w:t>.</w:t>
            </w:r>
          </w:p>
          <w:p w14:paraId="3C644B38" w14:textId="0BE275EB" w:rsidR="00FB2CB2" w:rsidRPr="009E49AE" w:rsidRDefault="00FB2CB2" w:rsidP="00FA4481">
            <w:pPr>
              <w:pStyle w:val="ListParagraph"/>
              <w:numPr>
                <w:ilvl w:val="0"/>
                <w:numId w:val="24"/>
              </w:numPr>
              <w:rPr>
                <w:rFonts w:cstheme="minorHAnsi"/>
                <w:color w:val="000000"/>
                <w:shd w:val="clear" w:color="auto" w:fill="FFFFFF"/>
              </w:rPr>
            </w:pPr>
            <w:r w:rsidRPr="009E49AE">
              <w:rPr>
                <w:rFonts w:cstheme="minorHAnsi"/>
                <w:color w:val="000000"/>
                <w:shd w:val="clear" w:color="auto" w:fill="FFFFFF"/>
              </w:rPr>
              <w:t>In addition, the LCC calculation also includes internal costs borne by the contracting authority or other users, including:</w:t>
            </w:r>
          </w:p>
          <w:p w14:paraId="6EA678FC" w14:textId="63073817"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operating costs, such as costs for consumption of energy and other resources</w:t>
            </w:r>
            <w:r w:rsidR="004C1CF2" w:rsidRPr="009E49AE">
              <w:rPr>
                <w:rFonts w:cstheme="minorHAnsi"/>
                <w:color w:val="000000"/>
                <w:shd w:val="clear" w:color="auto" w:fill="FFFFFF"/>
              </w:rPr>
              <w:t xml:space="preserve"> (Article 68(1)(a)(ii)</w:t>
            </w:r>
            <w:r w:rsidR="00613AC4" w:rsidRPr="009E49AE">
              <w:rPr>
                <w:rFonts w:cstheme="minorHAnsi"/>
                <w:color w:val="000000"/>
                <w:shd w:val="clear" w:color="auto" w:fill="FFFFFF"/>
              </w:rPr>
              <w:t>)</w:t>
            </w:r>
            <w:r w:rsidRPr="009E49AE">
              <w:rPr>
                <w:rFonts w:cstheme="minorHAnsi"/>
                <w:color w:val="000000"/>
                <w:shd w:val="clear" w:color="auto" w:fill="FFFFFF"/>
              </w:rPr>
              <w:t>.</w:t>
            </w:r>
          </w:p>
          <w:p w14:paraId="037C4CFE" w14:textId="758A85A7"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maintenance costs</w:t>
            </w:r>
            <w:r w:rsidR="00613AC4" w:rsidRPr="009E49AE">
              <w:rPr>
                <w:rFonts w:cstheme="minorHAnsi"/>
                <w:color w:val="000000"/>
                <w:shd w:val="clear" w:color="auto" w:fill="FFFFFF"/>
              </w:rPr>
              <w:t xml:space="preserve"> (Article 68(1)(a)(iii)).</w:t>
            </w:r>
          </w:p>
          <w:p w14:paraId="52A2600C" w14:textId="0BE1B9A2" w:rsidR="00FB2CB2" w:rsidRPr="009E49AE" w:rsidRDefault="00FB2CB2" w:rsidP="00A40C29">
            <w:pPr>
              <w:pStyle w:val="ListParagraph"/>
              <w:numPr>
                <w:ilvl w:val="0"/>
                <w:numId w:val="14"/>
              </w:numPr>
              <w:rPr>
                <w:rFonts w:cstheme="minorHAnsi"/>
                <w:color w:val="000000"/>
                <w:shd w:val="clear" w:color="auto" w:fill="FFFFFF"/>
              </w:rPr>
            </w:pPr>
            <w:r w:rsidRPr="009E49AE">
              <w:rPr>
                <w:rFonts w:cstheme="minorHAnsi"/>
                <w:color w:val="000000"/>
                <w:shd w:val="clear" w:color="auto" w:fill="FFFFFF"/>
              </w:rPr>
              <w:t>end-of-life costs, such as collection and recycling costs</w:t>
            </w:r>
            <w:r w:rsidR="00E15420" w:rsidRPr="009E49AE">
              <w:rPr>
                <w:rFonts w:cstheme="minorHAnsi"/>
                <w:color w:val="000000"/>
                <w:shd w:val="clear" w:color="auto" w:fill="FFFFFF"/>
              </w:rPr>
              <w:t xml:space="preserve"> </w:t>
            </w:r>
            <w:r w:rsidR="00613AC4" w:rsidRPr="009E49AE">
              <w:rPr>
                <w:rFonts w:cstheme="minorHAnsi"/>
                <w:color w:val="000000"/>
                <w:shd w:val="clear" w:color="auto" w:fill="FFFFFF"/>
              </w:rPr>
              <w:t>(Article 68(1)(a)(iv)).</w:t>
            </w:r>
          </w:p>
          <w:p w14:paraId="3A4B99E8" w14:textId="4E220E42" w:rsidR="00FB2CB2" w:rsidRPr="009E49AE" w:rsidRDefault="00FB2CB2" w:rsidP="00A40C29">
            <w:pPr>
              <w:pStyle w:val="ListParagraph"/>
              <w:numPr>
                <w:ilvl w:val="0"/>
                <w:numId w:val="12"/>
              </w:numPr>
              <w:rPr>
                <w:rFonts w:cstheme="minorHAnsi"/>
                <w:color w:val="000000"/>
                <w:shd w:val="clear" w:color="auto" w:fill="FFFFFF"/>
              </w:rPr>
            </w:pPr>
            <w:r w:rsidRPr="009E49AE">
              <w:rPr>
                <w:rFonts w:cstheme="minorHAnsi"/>
                <w:color w:val="000000"/>
                <w:shd w:val="clear" w:color="auto" w:fill="FFFFFF"/>
              </w:rPr>
              <w:t>The Directive recommends the integration of environmental protection and sustainable development into procurement policy, with LCC as a tool for obtaining the best value for money</w:t>
            </w:r>
            <w:r w:rsidR="00824407" w:rsidRPr="009E49AE">
              <w:rPr>
                <w:rFonts w:cstheme="minorHAnsi"/>
                <w:color w:val="000000"/>
                <w:shd w:val="clear" w:color="auto" w:fill="FFFFFF"/>
              </w:rPr>
              <w:t xml:space="preserve"> (Paragraph 91).</w:t>
            </w:r>
          </w:p>
          <w:p w14:paraId="015C2231" w14:textId="7B9A74A7" w:rsidR="00FB2CB2" w:rsidRPr="00FB2CB2" w:rsidRDefault="00FB2CB2" w:rsidP="00FB2CB2">
            <w:pPr>
              <w:rPr>
                <w:rFonts w:cstheme="minorHAnsi"/>
                <w:b/>
                <w:bCs/>
                <w:color w:val="000000"/>
                <w:shd w:val="clear" w:color="auto" w:fill="FFFFFF"/>
              </w:rPr>
            </w:pPr>
            <w:r w:rsidRPr="00FB2CB2">
              <w:rPr>
                <w:rFonts w:cstheme="minorHAnsi"/>
                <w:b/>
                <w:bCs/>
                <w:color w:val="000000"/>
                <w:shd w:val="clear" w:color="auto" w:fill="FFFFFF"/>
              </w:rPr>
              <w:t>2. The application of life cycle/total life cycle costs to certain types of contracts or tenders</w:t>
            </w:r>
          </w:p>
          <w:p w14:paraId="46985B29" w14:textId="4F00A513" w:rsidR="00FB2CB2" w:rsidRPr="00FB2CB2" w:rsidRDefault="00FB2CB2" w:rsidP="00FB2CB2">
            <w:pPr>
              <w:rPr>
                <w:rFonts w:cstheme="minorHAnsi"/>
                <w:color w:val="000000"/>
                <w:shd w:val="clear" w:color="auto" w:fill="FFFFFF"/>
              </w:rPr>
            </w:pPr>
            <w:r w:rsidRPr="00FB2CB2">
              <w:rPr>
                <w:rFonts w:cstheme="minorHAnsi"/>
                <w:color w:val="000000"/>
                <w:shd w:val="clear" w:color="auto" w:fill="FFFFFF"/>
              </w:rPr>
              <w:t>The application of LCC is permitted for all tenders where the contract is awarded on the basis of the “most economically advantageous tender” (MEAT), also known as “best price-quality ratio”. This is the primary award method in the Directive</w:t>
            </w:r>
            <w:r w:rsidR="00914679">
              <w:rPr>
                <w:rFonts w:cstheme="minorHAnsi"/>
                <w:color w:val="000000"/>
                <w:shd w:val="clear" w:color="auto" w:fill="FFFFFF"/>
              </w:rPr>
              <w:t xml:space="preserve"> (Article 6</w:t>
            </w:r>
            <w:r w:rsidR="00AD2DC6">
              <w:rPr>
                <w:rFonts w:cstheme="minorHAnsi"/>
                <w:color w:val="000000"/>
                <w:shd w:val="clear" w:color="auto" w:fill="FFFFFF"/>
              </w:rPr>
              <w:t>7</w:t>
            </w:r>
            <w:r w:rsidR="00914679">
              <w:rPr>
                <w:rFonts w:cstheme="minorHAnsi"/>
                <w:color w:val="000000"/>
                <w:shd w:val="clear" w:color="auto" w:fill="FFFFFF"/>
              </w:rPr>
              <w:t>).</w:t>
            </w:r>
          </w:p>
          <w:p w14:paraId="5DEE17EC" w14:textId="4404FFF8" w:rsidR="00FB2CB2" w:rsidRPr="009E49AE" w:rsidRDefault="00FB2CB2" w:rsidP="00A40C29">
            <w:pPr>
              <w:pStyle w:val="ListParagraph"/>
              <w:numPr>
                <w:ilvl w:val="0"/>
                <w:numId w:val="11"/>
              </w:numPr>
              <w:rPr>
                <w:rFonts w:cstheme="minorHAnsi"/>
                <w:color w:val="000000"/>
                <w:shd w:val="clear" w:color="auto" w:fill="FFFFFF"/>
              </w:rPr>
            </w:pPr>
            <w:r w:rsidRPr="009E49AE">
              <w:rPr>
                <w:rFonts w:cstheme="minorHAnsi"/>
                <w:color w:val="000000"/>
                <w:shd w:val="clear" w:color="auto" w:fill="FFFFFF"/>
              </w:rPr>
              <w:lastRenderedPageBreak/>
              <w:t>Member States may decide that contracting authorities may not use price or costs as the sole award criterion, or may limit its use to certain categories of contracting authorities or certain types of contracts</w:t>
            </w:r>
            <w:r w:rsidR="00E55E0F" w:rsidRPr="009E49AE">
              <w:rPr>
                <w:rFonts w:cstheme="minorHAnsi"/>
                <w:color w:val="000000"/>
                <w:shd w:val="clear" w:color="auto" w:fill="FFFFFF"/>
              </w:rPr>
              <w:t xml:space="preserve"> (Article 67(2)).</w:t>
            </w:r>
          </w:p>
          <w:p w14:paraId="1218B0D9" w14:textId="24338A56" w:rsidR="00FB2CB2" w:rsidRPr="009E49AE" w:rsidRDefault="00FB2CB2" w:rsidP="00A40C29">
            <w:pPr>
              <w:pStyle w:val="ListParagraph"/>
              <w:numPr>
                <w:ilvl w:val="0"/>
                <w:numId w:val="11"/>
              </w:numPr>
              <w:rPr>
                <w:rFonts w:cstheme="minorHAnsi"/>
                <w:color w:val="000000"/>
                <w:shd w:val="clear" w:color="auto" w:fill="FFFFFF"/>
              </w:rPr>
            </w:pPr>
            <w:r w:rsidRPr="009E49AE">
              <w:rPr>
                <w:rFonts w:cstheme="minorHAnsi"/>
                <w:color w:val="000000"/>
                <w:shd w:val="clear" w:color="auto" w:fill="FFFFFF"/>
              </w:rPr>
              <w:t>Furthermore, the policy instrument requires that, once common methods for calculating life-cycle costs for certain categories of supplies or services have been developed at Union level, the use of these methods shall be mandatory. Directive 2009/33/EC (on clean and energy-efficient road transport vehicles) and Regulation (EC) No 106/2008 (office equipment) are cited as examples of sectors where mandatory procurement rules relating to certain targets have already been established and where common methods for LCC have been developed</w:t>
            </w:r>
            <w:r w:rsidR="000F21EA" w:rsidRPr="009E49AE">
              <w:rPr>
                <w:rFonts w:cstheme="minorHAnsi"/>
                <w:color w:val="000000"/>
                <w:shd w:val="clear" w:color="auto" w:fill="FFFFFF"/>
              </w:rPr>
              <w:t xml:space="preserve"> (Article 68(3)).</w:t>
            </w:r>
          </w:p>
          <w:p w14:paraId="58452ED3" w14:textId="6A20F614" w:rsidR="00FB2CB2" w:rsidRPr="00FB2CB2" w:rsidRDefault="00FB2CB2" w:rsidP="00FB2CB2">
            <w:pPr>
              <w:rPr>
                <w:rFonts w:cstheme="minorHAnsi"/>
                <w:b/>
                <w:bCs/>
                <w:color w:val="000000"/>
                <w:shd w:val="clear" w:color="auto" w:fill="FFFFFF"/>
              </w:rPr>
            </w:pPr>
            <w:r w:rsidRPr="00FB2CB2">
              <w:rPr>
                <w:rFonts w:cstheme="minorHAnsi"/>
                <w:b/>
                <w:bCs/>
                <w:color w:val="000000"/>
                <w:shd w:val="clear" w:color="auto" w:fill="FFFFFF"/>
              </w:rPr>
              <w:t>3</w:t>
            </w:r>
            <w:r w:rsidRPr="00FB2CB2">
              <w:rPr>
                <w:rFonts w:cstheme="minorHAnsi"/>
                <w:b/>
                <w:bCs/>
                <w:shd w:val="clear" w:color="auto" w:fill="FFFFFF"/>
              </w:rPr>
              <w:t xml:space="preserve">. </w:t>
            </w:r>
            <w:r w:rsidR="00F727A8" w:rsidRPr="00F727A8">
              <w:rPr>
                <w:rStyle w:val="normaltextrun"/>
                <w:rFonts w:cstheme="minorHAnsi"/>
                <w:b/>
                <w:bCs/>
                <w:lang w:val="en-US"/>
              </w:rPr>
              <w:t>A methodology or tool for the calculation of life-cycle /whole-life costs</w:t>
            </w:r>
          </w:p>
          <w:p w14:paraId="7122451E" w14:textId="62806025" w:rsidR="00FB2CB2" w:rsidRPr="00FB2CB2" w:rsidRDefault="00FB2CB2" w:rsidP="00FB2CB2">
            <w:pPr>
              <w:rPr>
                <w:rFonts w:cstheme="minorHAnsi"/>
                <w:color w:val="000000"/>
                <w:shd w:val="clear" w:color="auto" w:fill="FFFFFF"/>
              </w:rPr>
            </w:pPr>
            <w:r w:rsidRPr="00FB2CB2">
              <w:rPr>
                <w:rFonts w:cstheme="minorHAnsi"/>
                <w:color w:val="000000"/>
                <w:shd w:val="clear" w:color="auto" w:fill="FFFFFF"/>
              </w:rPr>
              <w:t>The policy instrument sets requirements for the methodologies used by contracting authorities and requires the development of common methods at EU level:</w:t>
            </w:r>
          </w:p>
          <w:p w14:paraId="4AC28263" w14:textId="445A88F9" w:rsidR="00FB2CB2" w:rsidRPr="00BA556E" w:rsidRDefault="00FB2CB2" w:rsidP="00A40C29">
            <w:pPr>
              <w:pStyle w:val="ListParagraph"/>
              <w:numPr>
                <w:ilvl w:val="0"/>
                <w:numId w:val="9"/>
              </w:numPr>
              <w:rPr>
                <w:rFonts w:cstheme="minorHAnsi"/>
                <w:color w:val="000000"/>
                <w:shd w:val="clear" w:color="auto" w:fill="FFFFFF"/>
              </w:rPr>
            </w:pPr>
            <w:r w:rsidRPr="00BA556E">
              <w:rPr>
                <w:rFonts w:cstheme="minorHAnsi"/>
                <w:color w:val="000000"/>
                <w:shd w:val="clear" w:color="auto" w:fill="FFFFFF"/>
              </w:rPr>
              <w:t>The methods used by contracting authorities to estimate costs attributable to external environmental impacts must meet the following conditions</w:t>
            </w:r>
            <w:r w:rsidR="001C2E97" w:rsidRPr="00BA556E">
              <w:rPr>
                <w:rFonts w:cstheme="minorHAnsi"/>
                <w:color w:val="000000"/>
                <w:shd w:val="clear" w:color="auto" w:fill="FFFFFF"/>
              </w:rPr>
              <w:t xml:space="preserve"> (Article 68(2))</w:t>
            </w:r>
            <w:r w:rsidRPr="00BA556E">
              <w:rPr>
                <w:rFonts w:cstheme="minorHAnsi"/>
                <w:color w:val="000000"/>
                <w:shd w:val="clear" w:color="auto" w:fill="FFFFFF"/>
              </w:rPr>
              <w:t>:</w:t>
            </w:r>
          </w:p>
          <w:p w14:paraId="2310FEC9" w14:textId="35A905C8" w:rsidR="00FB2CB2" w:rsidRPr="00BA556E" w:rsidRDefault="00FB2CB2" w:rsidP="00A40C29">
            <w:pPr>
              <w:pStyle w:val="ListParagraph"/>
              <w:numPr>
                <w:ilvl w:val="0"/>
                <w:numId w:val="10"/>
              </w:numPr>
              <w:rPr>
                <w:rFonts w:cstheme="minorHAnsi"/>
                <w:color w:val="000000"/>
                <w:shd w:val="clear" w:color="auto" w:fill="FFFFFF"/>
              </w:rPr>
            </w:pPr>
            <w:r w:rsidRPr="00BA556E">
              <w:rPr>
                <w:rFonts w:cstheme="minorHAnsi"/>
                <w:color w:val="000000"/>
                <w:shd w:val="clear" w:color="auto" w:fill="FFFFFF"/>
              </w:rPr>
              <w:t>They must be objectively verifiable and non-discriminatory</w:t>
            </w:r>
            <w:r w:rsidR="00501CEA" w:rsidRPr="00BA556E">
              <w:rPr>
                <w:rFonts w:cstheme="minorHAnsi"/>
                <w:color w:val="000000"/>
                <w:shd w:val="clear" w:color="auto" w:fill="FFFFFF"/>
              </w:rPr>
              <w:t xml:space="preserve"> (Article 68(2)(a))</w:t>
            </w:r>
            <w:r w:rsidRPr="00BA556E">
              <w:rPr>
                <w:rFonts w:cstheme="minorHAnsi"/>
                <w:color w:val="000000"/>
                <w:shd w:val="clear" w:color="auto" w:fill="FFFFFF"/>
              </w:rPr>
              <w:t>.</w:t>
            </w:r>
          </w:p>
          <w:p w14:paraId="5E0B314C" w14:textId="00AAB4C4" w:rsidR="00FB2CB2" w:rsidRPr="00BA556E" w:rsidRDefault="00FB2CB2" w:rsidP="00A40C29">
            <w:pPr>
              <w:pStyle w:val="ListParagraph"/>
              <w:numPr>
                <w:ilvl w:val="0"/>
                <w:numId w:val="10"/>
              </w:numPr>
              <w:rPr>
                <w:rFonts w:cstheme="minorHAnsi"/>
                <w:color w:val="000000"/>
                <w:shd w:val="clear" w:color="auto" w:fill="FFFFFF"/>
              </w:rPr>
            </w:pPr>
            <w:r w:rsidRPr="00BA556E">
              <w:rPr>
                <w:rFonts w:cstheme="minorHAnsi"/>
                <w:color w:val="000000"/>
                <w:shd w:val="clear" w:color="auto" w:fill="FFFFFF"/>
              </w:rPr>
              <w:t>They must be accessible to all interested parties</w:t>
            </w:r>
            <w:r w:rsidR="00501CEA" w:rsidRPr="00BA556E">
              <w:rPr>
                <w:rFonts w:cstheme="minorHAnsi"/>
                <w:color w:val="000000"/>
                <w:shd w:val="clear" w:color="auto" w:fill="FFFFFF"/>
              </w:rPr>
              <w:t xml:space="preserve"> (Article 68(2)(b))</w:t>
            </w:r>
            <w:r w:rsidRPr="00BA556E">
              <w:rPr>
                <w:rFonts w:cstheme="minorHAnsi"/>
                <w:color w:val="000000"/>
                <w:shd w:val="clear" w:color="auto" w:fill="FFFFFF"/>
              </w:rPr>
              <w:t>.</w:t>
            </w:r>
          </w:p>
          <w:p w14:paraId="6E6F0700" w14:textId="10F583AA" w:rsidR="00FB2CB2" w:rsidRPr="00BA556E" w:rsidRDefault="00FB2CB2" w:rsidP="00A40C29">
            <w:pPr>
              <w:pStyle w:val="ListParagraph"/>
              <w:numPr>
                <w:ilvl w:val="0"/>
                <w:numId w:val="10"/>
              </w:numPr>
              <w:rPr>
                <w:rFonts w:cstheme="minorHAnsi"/>
                <w:color w:val="000000"/>
                <w:shd w:val="clear" w:color="auto" w:fill="FFFFFF"/>
              </w:rPr>
            </w:pPr>
            <w:r w:rsidRPr="00BA556E">
              <w:rPr>
                <w:rFonts w:cstheme="minorHAnsi"/>
                <w:color w:val="000000"/>
                <w:shd w:val="clear" w:color="auto" w:fill="FFFFFF"/>
              </w:rPr>
              <w:t>They must remain general in nature and not be specific to a particular public procurement procedure in order to prevent distortion of competition</w:t>
            </w:r>
            <w:r w:rsidR="00750585" w:rsidRPr="00BA556E">
              <w:rPr>
                <w:rFonts w:cstheme="minorHAnsi"/>
                <w:color w:val="000000"/>
                <w:shd w:val="clear" w:color="auto" w:fill="FFFFFF"/>
              </w:rPr>
              <w:t xml:space="preserve"> (Paragraph 96</w:t>
            </w:r>
            <w:r w:rsidR="00501CEA" w:rsidRPr="00BA556E">
              <w:rPr>
                <w:rFonts w:cstheme="minorHAnsi"/>
                <w:color w:val="000000"/>
                <w:shd w:val="clear" w:color="auto" w:fill="FFFFFF"/>
              </w:rPr>
              <w:t>)</w:t>
            </w:r>
            <w:r w:rsidRPr="00BA556E">
              <w:rPr>
                <w:rFonts w:cstheme="minorHAnsi"/>
                <w:color w:val="000000"/>
                <w:shd w:val="clear" w:color="auto" w:fill="FFFFFF"/>
              </w:rPr>
              <w:t>.</w:t>
            </w:r>
          </w:p>
          <w:p w14:paraId="346C7566" w14:textId="71B9D7EE" w:rsidR="00FB2CB2" w:rsidRPr="00BA556E" w:rsidRDefault="00FB2CB2" w:rsidP="00A40C29">
            <w:pPr>
              <w:pStyle w:val="ListParagraph"/>
              <w:numPr>
                <w:ilvl w:val="0"/>
                <w:numId w:val="8"/>
              </w:numPr>
              <w:rPr>
                <w:rFonts w:cstheme="minorHAnsi"/>
                <w:color w:val="000000"/>
                <w:shd w:val="clear" w:color="auto" w:fill="FFFFFF"/>
              </w:rPr>
            </w:pPr>
            <w:r w:rsidRPr="00BA556E">
              <w:rPr>
                <w:rFonts w:cstheme="minorHAnsi"/>
                <w:color w:val="000000"/>
                <w:shd w:val="clear" w:color="auto" w:fill="FFFFFF"/>
              </w:rPr>
              <w:t>The required data must be capable of being provided with reasonable effort by normally diligent economic operators</w:t>
            </w:r>
            <w:r w:rsidR="00750585" w:rsidRPr="00BA556E">
              <w:rPr>
                <w:rFonts w:cstheme="minorHAnsi"/>
                <w:color w:val="000000"/>
                <w:shd w:val="clear" w:color="auto" w:fill="FFFFFF"/>
              </w:rPr>
              <w:t xml:space="preserve"> (Article 68(2)(c)</w:t>
            </w:r>
            <w:r w:rsidR="00026A8D" w:rsidRPr="00BA556E">
              <w:rPr>
                <w:rFonts w:cstheme="minorHAnsi"/>
                <w:color w:val="000000"/>
                <w:shd w:val="clear" w:color="auto" w:fill="FFFFFF"/>
              </w:rPr>
              <w:t>).</w:t>
            </w:r>
          </w:p>
          <w:p w14:paraId="3FE0A132" w14:textId="79C550AE" w:rsidR="00FB2CB2" w:rsidRPr="00BA556E" w:rsidRDefault="00FB2CB2" w:rsidP="00A40C29">
            <w:pPr>
              <w:pStyle w:val="ListParagraph"/>
              <w:numPr>
                <w:ilvl w:val="0"/>
                <w:numId w:val="9"/>
              </w:numPr>
              <w:rPr>
                <w:rFonts w:cstheme="minorHAnsi"/>
                <w:color w:val="000000"/>
                <w:shd w:val="clear" w:color="auto" w:fill="FFFFFF"/>
              </w:rPr>
            </w:pPr>
            <w:r w:rsidRPr="00BA556E">
              <w:rPr>
                <w:rFonts w:cstheme="minorHAnsi"/>
                <w:color w:val="000000"/>
                <w:shd w:val="clear" w:color="auto" w:fill="FFFFFF"/>
              </w:rPr>
              <w:t>The Directive requires the development of common methods for calculating life-cycle costs at Union level for certain categories of supplies or services. Once these common methods have been developed, their use will become mandatory</w:t>
            </w:r>
            <w:r w:rsidR="00450A41" w:rsidRPr="00BA556E">
              <w:rPr>
                <w:rFonts w:cstheme="minorHAnsi"/>
                <w:color w:val="000000"/>
                <w:shd w:val="clear" w:color="auto" w:fill="FFFFFF"/>
              </w:rPr>
              <w:t xml:space="preserve"> (Paragraph 96).</w:t>
            </w:r>
          </w:p>
          <w:p w14:paraId="0B11500B" w14:textId="653DA0CD" w:rsidR="00D94180" w:rsidRPr="00BA556E" w:rsidRDefault="00FB2CB2" w:rsidP="00A40C29">
            <w:pPr>
              <w:pStyle w:val="ListParagraph"/>
              <w:numPr>
                <w:ilvl w:val="0"/>
                <w:numId w:val="8"/>
              </w:numPr>
              <w:rPr>
                <w:rStyle w:val="normaltextrun"/>
                <w:rFonts w:cstheme="minorHAnsi"/>
                <w:color w:val="000000"/>
                <w:shd w:val="clear" w:color="auto" w:fill="FFFFFF"/>
              </w:rPr>
            </w:pPr>
            <w:r w:rsidRPr="00BA556E">
              <w:rPr>
                <w:rFonts w:cstheme="minorHAnsi"/>
                <w:color w:val="000000"/>
                <w:shd w:val="clear" w:color="auto" w:fill="FFFFFF"/>
              </w:rPr>
              <w:t>The Commission is empowered to adopt delegated acts to update the list of Union legislative acts requiring a common methodology for life-cycle costs (listed in Annex XIII)</w:t>
            </w:r>
            <w:r w:rsidR="00C16467" w:rsidRPr="00BA556E">
              <w:rPr>
                <w:rFonts w:cstheme="minorHAnsi"/>
                <w:color w:val="000000"/>
                <w:shd w:val="clear" w:color="auto" w:fill="FFFFFF"/>
              </w:rPr>
              <w:t xml:space="preserve"> (Article 68(3)).</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bookmarkStart w:id="20" w:name="_Hlk202865963"/>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12EE7B76" w:rsidR="008A4685" w:rsidRPr="00610F28" w:rsidRDefault="004B46F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915D32F"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bookmarkEnd w:id="20"/>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019E22EA" w:rsidR="008A4685" w:rsidRPr="00610F28" w:rsidRDefault="0057678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C88D97" w:rsidR="008A4685" w:rsidRPr="00610F28" w:rsidRDefault="00E565E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5E3783DF" w:rsidR="008A4685" w:rsidRPr="00610F28" w:rsidRDefault="00265AF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12F20D26" w:rsidR="008A4685" w:rsidRPr="00610F28" w:rsidRDefault="006A514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000C6900" w:rsidR="008A4685" w:rsidRPr="00610F28" w:rsidRDefault="00BE4E6B"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2DB3EFF"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0E10230" w14:textId="08BEC64B" w:rsidR="00D72A68" w:rsidRPr="00D72A68" w:rsidRDefault="00E93E7D" w:rsidP="00A40C29">
            <w:pPr>
              <w:numPr>
                <w:ilvl w:val="0"/>
                <w:numId w:val="3"/>
              </w:numPr>
              <w:rPr>
                <w:rFonts w:ascii="Calibri" w:hAnsi="Calibri" w:cs="Calibri"/>
                <w:b/>
                <w:bCs/>
                <w:color w:val="000000"/>
                <w:shd w:val="clear" w:color="auto" w:fill="FFFFFF"/>
              </w:rPr>
            </w:pPr>
            <w:r>
              <w:rPr>
                <w:rFonts w:ascii="Calibri" w:hAnsi="Calibri" w:cs="Calibri"/>
                <w:b/>
                <w:bCs/>
                <w:color w:val="000000"/>
                <w:shd w:val="clear" w:color="auto" w:fill="FFFFFF"/>
              </w:rPr>
              <w:t>Exclusion or debarment grounds based on compliance with climate obligations</w:t>
            </w:r>
          </w:p>
          <w:p w14:paraId="031DE55A" w14:textId="454C0F05" w:rsidR="00D72A68" w:rsidRPr="007A72D4" w:rsidRDefault="00D72A68" w:rsidP="007A72D4">
            <w:pPr>
              <w:pStyle w:val="ListParagraph"/>
              <w:numPr>
                <w:ilvl w:val="1"/>
                <w:numId w:val="30"/>
              </w:numPr>
              <w:rPr>
                <w:rFonts w:ascii="Calibri" w:hAnsi="Calibri" w:cs="Calibri"/>
                <w:color w:val="000000"/>
                <w:shd w:val="clear" w:color="auto" w:fill="FFFFFF"/>
              </w:rPr>
            </w:pPr>
            <w:r w:rsidRPr="007A72D4">
              <w:rPr>
                <w:rFonts w:ascii="Calibri" w:hAnsi="Calibri" w:cs="Calibri"/>
                <w:color w:val="000000"/>
                <w:shd w:val="clear" w:color="auto" w:fill="FFFFFF"/>
              </w:rPr>
              <w:t>The Directive states that contracting authorities may exclude an economic operator from participating in a procurement procedure if they demonstrate by appropriate means that the applicable obligations in the field of environmental law have been infringed</w:t>
            </w:r>
            <w:r w:rsidR="008E78E2" w:rsidRPr="007A72D4">
              <w:rPr>
                <w:rFonts w:ascii="Calibri" w:hAnsi="Calibri" w:cs="Calibri"/>
                <w:color w:val="000000"/>
                <w:shd w:val="clear" w:color="auto" w:fill="FFFFFF"/>
              </w:rPr>
              <w:t xml:space="preserve"> (Paragraph 101).</w:t>
            </w:r>
          </w:p>
          <w:p w14:paraId="2CF44F31" w14:textId="0704E2FA" w:rsidR="00D72A68" w:rsidRPr="007A72D4" w:rsidRDefault="00D72A68" w:rsidP="007A72D4">
            <w:pPr>
              <w:pStyle w:val="ListParagraph"/>
              <w:numPr>
                <w:ilvl w:val="1"/>
                <w:numId w:val="30"/>
              </w:numPr>
              <w:rPr>
                <w:rFonts w:ascii="Calibri" w:hAnsi="Calibri" w:cs="Calibri"/>
                <w:color w:val="000000"/>
                <w:shd w:val="clear" w:color="auto" w:fill="FFFFFF"/>
              </w:rPr>
            </w:pPr>
            <w:r w:rsidRPr="007A72D4">
              <w:rPr>
                <w:rFonts w:ascii="Calibri" w:hAnsi="Calibri" w:cs="Calibri"/>
                <w:color w:val="000000"/>
                <w:shd w:val="clear" w:color="auto" w:fill="FFFFFF"/>
              </w:rPr>
              <w:t>A tender must be rejected if the contracting authority has established that the abnormally low prices or costs are the result of non-compliance with mandatory environmental, social or labour law requirements under Union law, or with national law requirements compatible with Union law, or with international labour law requirements</w:t>
            </w:r>
            <w:r w:rsidR="00EF1E9F" w:rsidRPr="007A72D4">
              <w:rPr>
                <w:rFonts w:ascii="Calibri" w:hAnsi="Calibri" w:cs="Calibri"/>
                <w:color w:val="000000"/>
                <w:shd w:val="clear" w:color="auto" w:fill="FFFFFF"/>
              </w:rPr>
              <w:t xml:space="preserve"> (Article 69(3)).</w:t>
            </w:r>
          </w:p>
          <w:p w14:paraId="338EC5B3" w14:textId="4D42A59D" w:rsidR="00D72A68" w:rsidRPr="007A72D4" w:rsidRDefault="00D72A68" w:rsidP="007A72D4">
            <w:pPr>
              <w:pStyle w:val="ListParagraph"/>
              <w:numPr>
                <w:ilvl w:val="1"/>
                <w:numId w:val="30"/>
              </w:numPr>
              <w:rPr>
                <w:rFonts w:ascii="Calibri" w:hAnsi="Calibri" w:cs="Calibri"/>
                <w:color w:val="000000"/>
                <w:shd w:val="clear" w:color="auto" w:fill="FFFFFF"/>
              </w:rPr>
            </w:pPr>
            <w:r w:rsidRPr="007A72D4">
              <w:rPr>
                <w:rFonts w:ascii="Calibri" w:hAnsi="Calibri" w:cs="Calibri"/>
                <w:color w:val="000000"/>
                <w:shd w:val="clear" w:color="auto" w:fill="FFFFFF"/>
              </w:rPr>
              <w:t>Contracting authorities may decide not to award a contract to the tenderer who has submitted the most economically advantageous tender if they have established that the tender does not comply with the applicable obligations referred to in Article 18(2)</w:t>
            </w:r>
            <w:r w:rsidR="00FF77CB" w:rsidRPr="007A72D4">
              <w:rPr>
                <w:rFonts w:ascii="Calibri" w:hAnsi="Calibri" w:cs="Calibri"/>
                <w:color w:val="000000"/>
                <w:shd w:val="clear" w:color="auto" w:fill="FFFFFF"/>
              </w:rPr>
              <w:t xml:space="preserve"> (Article </w:t>
            </w:r>
            <w:r w:rsidR="00D50D3C" w:rsidRPr="007A72D4">
              <w:rPr>
                <w:rFonts w:ascii="Calibri" w:hAnsi="Calibri" w:cs="Calibri"/>
                <w:color w:val="000000"/>
                <w:shd w:val="clear" w:color="auto" w:fill="FFFFFF"/>
              </w:rPr>
              <w:t>56(1)).</w:t>
            </w:r>
          </w:p>
          <w:p w14:paraId="074325AB" w14:textId="38CE9252" w:rsidR="00D72A68" w:rsidRPr="00D72A68" w:rsidRDefault="00D72A68" w:rsidP="00A40C29">
            <w:pPr>
              <w:numPr>
                <w:ilvl w:val="0"/>
                <w:numId w:val="3"/>
              </w:numPr>
              <w:rPr>
                <w:rFonts w:ascii="Calibri" w:hAnsi="Calibri" w:cs="Calibri"/>
                <w:b/>
                <w:bCs/>
                <w:color w:val="000000"/>
                <w:shd w:val="clear" w:color="auto" w:fill="FFFFFF"/>
              </w:rPr>
            </w:pPr>
            <w:r w:rsidRPr="00D72A68">
              <w:rPr>
                <w:rFonts w:ascii="Calibri" w:hAnsi="Calibri" w:cs="Calibri"/>
                <w:b/>
                <w:bCs/>
                <w:color w:val="000000"/>
                <w:shd w:val="clear" w:color="auto" w:fill="FFFFFF"/>
              </w:rPr>
              <w:t>Qualification or selection criteria related to climate change</w:t>
            </w:r>
          </w:p>
          <w:p w14:paraId="3608C918" w14:textId="590D8CF1" w:rsidR="00D72A68" w:rsidRPr="007A72D4" w:rsidRDefault="00D72A68" w:rsidP="007A72D4">
            <w:pPr>
              <w:pStyle w:val="ListParagraph"/>
              <w:numPr>
                <w:ilvl w:val="1"/>
                <w:numId w:val="29"/>
              </w:numPr>
              <w:rPr>
                <w:rFonts w:ascii="Calibri" w:hAnsi="Calibri" w:cs="Calibri"/>
                <w:color w:val="000000"/>
                <w:shd w:val="clear" w:color="auto" w:fill="FFFFFF"/>
              </w:rPr>
            </w:pPr>
            <w:r w:rsidRPr="007A72D4">
              <w:rPr>
                <w:rFonts w:ascii="Calibri" w:hAnsi="Calibri" w:cs="Calibri"/>
                <w:color w:val="000000"/>
                <w:shd w:val="clear" w:color="auto" w:fill="FFFFFF"/>
              </w:rPr>
              <w:t>The Directive allows contracting authorities to require that environmental management measures or systems be applied during the performance of a contract</w:t>
            </w:r>
            <w:r w:rsidR="00CE1385" w:rsidRPr="007A72D4">
              <w:rPr>
                <w:rFonts w:ascii="Calibri" w:hAnsi="Calibri" w:cs="Calibri"/>
                <w:color w:val="000000"/>
                <w:shd w:val="clear" w:color="auto" w:fill="FFFFFF"/>
              </w:rPr>
              <w:t xml:space="preserve"> (Paragraph 88).</w:t>
            </w:r>
          </w:p>
          <w:p w14:paraId="0A176B7F" w14:textId="7346CB3B" w:rsidR="00D72A68" w:rsidRPr="007A72D4" w:rsidRDefault="00D72A68" w:rsidP="007A72D4">
            <w:pPr>
              <w:pStyle w:val="ListParagraph"/>
              <w:numPr>
                <w:ilvl w:val="1"/>
                <w:numId w:val="29"/>
              </w:numPr>
              <w:rPr>
                <w:rFonts w:ascii="Calibri" w:hAnsi="Calibri" w:cs="Calibri"/>
                <w:color w:val="000000"/>
                <w:shd w:val="clear" w:color="auto" w:fill="FFFFFF"/>
              </w:rPr>
            </w:pPr>
            <w:r w:rsidRPr="007A72D4">
              <w:rPr>
                <w:rFonts w:ascii="Calibri" w:hAnsi="Calibri" w:cs="Calibri"/>
                <w:color w:val="000000"/>
                <w:shd w:val="clear" w:color="auto" w:fill="FFFFFF"/>
              </w:rPr>
              <w:t>If an economic operator does not have access to a specific environmental management system or cannot obtain it within the time limits set, the contracting authority shall accept other evidence of equivalent environmental management measures, provided that the economic operator demonstrates that these measures offer the same level of environmental protection as required under the applicable system or standard</w:t>
            </w:r>
            <w:r w:rsidR="00D51F7D" w:rsidRPr="007A72D4">
              <w:rPr>
                <w:rFonts w:ascii="Calibri" w:hAnsi="Calibri" w:cs="Calibri"/>
                <w:color w:val="000000"/>
                <w:shd w:val="clear" w:color="auto" w:fill="FFFFFF"/>
              </w:rPr>
              <w:t xml:space="preserve"> (Article 62(2)).</w:t>
            </w:r>
          </w:p>
          <w:p w14:paraId="3F83AF71" w14:textId="7B28538F" w:rsidR="00D72A68" w:rsidRPr="007A72D4" w:rsidRDefault="00D72A68" w:rsidP="007A72D4">
            <w:pPr>
              <w:pStyle w:val="ListParagraph"/>
              <w:numPr>
                <w:ilvl w:val="1"/>
                <w:numId w:val="29"/>
              </w:numPr>
              <w:rPr>
                <w:rFonts w:ascii="Calibri" w:hAnsi="Calibri" w:cs="Calibri"/>
                <w:color w:val="000000"/>
                <w:shd w:val="clear" w:color="auto" w:fill="FFFFFF"/>
              </w:rPr>
            </w:pPr>
            <w:r w:rsidRPr="007A72D4">
              <w:rPr>
                <w:rFonts w:ascii="Calibri" w:hAnsi="Calibri" w:cs="Calibri"/>
                <w:color w:val="000000"/>
                <w:shd w:val="clear" w:color="auto" w:fill="FFFFFF"/>
              </w:rPr>
              <w:t>These qualification requirements must be related and proportionate to the subject matter of the contract</w:t>
            </w:r>
            <w:r w:rsidR="002A02E5" w:rsidRPr="007A72D4">
              <w:rPr>
                <w:rFonts w:ascii="Calibri" w:hAnsi="Calibri" w:cs="Calibri"/>
                <w:color w:val="000000"/>
                <w:shd w:val="clear" w:color="auto" w:fill="FFFFFF"/>
              </w:rPr>
              <w:t xml:space="preserve"> (Article 58).</w:t>
            </w:r>
          </w:p>
          <w:p w14:paraId="39EE66C1" w14:textId="530A43E3" w:rsidR="00D72A68" w:rsidRPr="00D72A68" w:rsidRDefault="0061055A" w:rsidP="00A40C29">
            <w:pPr>
              <w:numPr>
                <w:ilvl w:val="0"/>
                <w:numId w:val="3"/>
              </w:numPr>
              <w:rPr>
                <w:rFonts w:ascii="Calibri" w:hAnsi="Calibri" w:cs="Calibri"/>
                <w:b/>
                <w:bCs/>
                <w:color w:val="000000"/>
                <w:shd w:val="clear" w:color="auto" w:fill="FFFFFF"/>
              </w:rPr>
            </w:pPr>
            <w:r>
              <w:rPr>
                <w:rFonts w:ascii="Calibri" w:hAnsi="Calibri" w:cs="Calibri"/>
                <w:b/>
                <w:bCs/>
                <w:color w:val="000000"/>
                <w:shd w:val="clear" w:color="auto" w:fill="FFFFFF"/>
              </w:rPr>
              <w:t xml:space="preserve">Including </w:t>
            </w:r>
            <w:r w:rsidR="00AB4860">
              <w:rPr>
                <w:rFonts w:ascii="Calibri" w:hAnsi="Calibri" w:cs="Calibri"/>
                <w:b/>
                <w:bCs/>
                <w:color w:val="000000"/>
                <w:shd w:val="clear" w:color="auto" w:fill="FFFFFF"/>
              </w:rPr>
              <w:t xml:space="preserve">climate or environmental considerations when calculating value for money, </w:t>
            </w:r>
            <w:r w:rsidR="00D72A68" w:rsidRPr="00D72A68">
              <w:rPr>
                <w:rFonts w:ascii="Calibri" w:hAnsi="Calibri" w:cs="Calibri"/>
                <w:b/>
                <w:bCs/>
                <w:color w:val="000000"/>
                <w:shd w:val="clear" w:color="auto" w:fill="FFFFFF"/>
              </w:rPr>
              <w:t xml:space="preserve">including through the use of life-cycle or </w:t>
            </w:r>
            <w:r w:rsidR="00285363">
              <w:rPr>
                <w:rFonts w:ascii="Calibri" w:hAnsi="Calibri" w:cs="Calibri"/>
                <w:b/>
                <w:bCs/>
                <w:color w:val="000000"/>
                <w:shd w:val="clear" w:color="auto" w:fill="FFFFFF"/>
              </w:rPr>
              <w:t>whole-</w:t>
            </w:r>
            <w:r w:rsidR="00D72A68" w:rsidRPr="00D72A68">
              <w:rPr>
                <w:rFonts w:ascii="Calibri" w:hAnsi="Calibri" w:cs="Calibri"/>
                <w:b/>
                <w:bCs/>
                <w:color w:val="000000"/>
                <w:shd w:val="clear" w:color="auto" w:fill="FFFFFF"/>
              </w:rPr>
              <w:t>life cost</w:t>
            </w:r>
            <w:r w:rsidR="00285363">
              <w:rPr>
                <w:rFonts w:ascii="Calibri" w:hAnsi="Calibri" w:cs="Calibri"/>
                <w:b/>
                <w:bCs/>
                <w:color w:val="000000"/>
                <w:shd w:val="clear" w:color="auto" w:fill="FFFFFF"/>
              </w:rPr>
              <w:t>ing</w:t>
            </w:r>
          </w:p>
          <w:p w14:paraId="09E8D8C0" w14:textId="6AB42587" w:rsidR="00D72A68" w:rsidRPr="007A72D4" w:rsidRDefault="00D72A68" w:rsidP="007A72D4">
            <w:pPr>
              <w:pStyle w:val="ListParagraph"/>
              <w:numPr>
                <w:ilvl w:val="1"/>
                <w:numId w:val="28"/>
              </w:numPr>
              <w:rPr>
                <w:rFonts w:ascii="Calibri" w:hAnsi="Calibri" w:cs="Calibri"/>
                <w:color w:val="000000"/>
                <w:shd w:val="clear" w:color="auto" w:fill="FFFFFF"/>
              </w:rPr>
            </w:pPr>
            <w:r w:rsidRPr="007A72D4">
              <w:rPr>
                <w:rFonts w:ascii="Calibri" w:hAnsi="Calibri" w:cs="Calibri"/>
                <w:color w:val="000000"/>
                <w:shd w:val="clear" w:color="auto" w:fill="FFFFFF"/>
              </w:rPr>
              <w:t xml:space="preserve">The ‘most economically advantageous tender’ may be determined on the basis of price or costs, on the basis of cost-effectiveness, such as life-cycle costs </w:t>
            </w:r>
            <w:r w:rsidRPr="007A72D4">
              <w:rPr>
                <w:rFonts w:ascii="Calibri" w:hAnsi="Calibri" w:cs="Calibri"/>
                <w:color w:val="000000"/>
                <w:shd w:val="clear" w:color="auto" w:fill="FFFFFF"/>
              </w:rPr>
              <w:lastRenderedPageBreak/>
              <w:t>(LCC). In addition to price or costs, this may also include the best price-quality ratio, taking into account qualitative, environmental and/or social aspects</w:t>
            </w:r>
            <w:r w:rsidR="001C720C" w:rsidRPr="007A72D4">
              <w:rPr>
                <w:rFonts w:ascii="Calibri" w:hAnsi="Calibri" w:cs="Calibri"/>
                <w:color w:val="000000"/>
                <w:shd w:val="clear" w:color="auto" w:fill="FFFFFF"/>
              </w:rPr>
              <w:t xml:space="preserve"> (Article 67(2)).</w:t>
            </w:r>
          </w:p>
          <w:p w14:paraId="44D00109" w14:textId="543DD4B5" w:rsidR="00D72A68" w:rsidRPr="007A72D4" w:rsidRDefault="00D72A68" w:rsidP="007A72D4">
            <w:pPr>
              <w:pStyle w:val="ListParagraph"/>
              <w:numPr>
                <w:ilvl w:val="1"/>
                <w:numId w:val="28"/>
              </w:numPr>
              <w:rPr>
                <w:rFonts w:ascii="Calibri" w:hAnsi="Calibri" w:cs="Calibri"/>
                <w:color w:val="000000"/>
                <w:shd w:val="clear" w:color="auto" w:fill="FFFFFF"/>
              </w:rPr>
            </w:pPr>
            <w:r w:rsidRPr="007A72D4">
              <w:rPr>
                <w:rFonts w:ascii="Calibri" w:hAnsi="Calibri" w:cs="Calibri"/>
                <w:color w:val="000000"/>
                <w:shd w:val="clear" w:color="auto" w:fill="FFFFFF"/>
              </w:rPr>
              <w:t>Life cycle costs (LCC) include all costs incurred during the life cycle of a product, service or work. This includes internal costs (such as acquisition, use, maintenance and end-of-life costs, including costs for energy and other resource consumption)</w:t>
            </w:r>
            <w:r w:rsidR="00764D39" w:rsidRPr="007A72D4">
              <w:rPr>
                <w:rFonts w:ascii="Calibri" w:hAnsi="Calibri" w:cs="Calibri"/>
                <w:color w:val="000000"/>
                <w:shd w:val="clear" w:color="auto" w:fill="FFFFFF"/>
              </w:rPr>
              <w:t xml:space="preserve"> (Article 68).</w:t>
            </w:r>
          </w:p>
          <w:p w14:paraId="7AC49473" w14:textId="54843885" w:rsidR="00D72A68" w:rsidRPr="007A72D4" w:rsidRDefault="00D72A68" w:rsidP="007A72D4">
            <w:pPr>
              <w:pStyle w:val="ListParagraph"/>
              <w:numPr>
                <w:ilvl w:val="1"/>
                <w:numId w:val="28"/>
              </w:numPr>
              <w:rPr>
                <w:rFonts w:ascii="Calibri" w:hAnsi="Calibri" w:cs="Calibri"/>
                <w:color w:val="000000"/>
                <w:shd w:val="clear" w:color="auto" w:fill="FFFFFF"/>
              </w:rPr>
            </w:pPr>
            <w:r w:rsidRPr="007A72D4">
              <w:rPr>
                <w:rFonts w:ascii="Calibri" w:hAnsi="Calibri" w:cs="Calibri"/>
                <w:color w:val="000000"/>
                <w:shd w:val="clear" w:color="auto" w:fill="FFFFFF"/>
              </w:rPr>
              <w:t>LCC may also include costs attributable to external environmental effects, such as costs of greenhouse gas emissions and other polluting emissions, or other costs of combating climate change. These external costs must be quantifiable and verifiable.</w:t>
            </w:r>
            <w:r w:rsidR="00C453E8">
              <w:rPr>
                <w:rFonts w:ascii="Calibri" w:hAnsi="Calibri" w:cs="Calibri"/>
                <w:color w:val="000000"/>
                <w:shd w:val="clear" w:color="auto" w:fill="FFFFFF"/>
              </w:rPr>
              <w:t xml:space="preserve"> </w:t>
            </w:r>
            <w:r w:rsidRPr="007A72D4">
              <w:rPr>
                <w:rFonts w:ascii="Calibri" w:hAnsi="Calibri" w:cs="Calibri"/>
                <w:color w:val="000000"/>
                <w:shd w:val="clear" w:color="auto" w:fill="FFFFFF"/>
              </w:rPr>
              <w:t>The Directive recommends investigating the development of common methods for social life-cycle costs, taking into account existing methods</w:t>
            </w:r>
            <w:r w:rsidR="004A1F19" w:rsidRPr="007A72D4">
              <w:rPr>
                <w:rFonts w:ascii="Calibri" w:hAnsi="Calibri" w:cs="Calibri"/>
                <w:color w:val="000000"/>
                <w:shd w:val="clear" w:color="auto" w:fill="FFFFFF"/>
              </w:rPr>
              <w:t xml:space="preserve"> (Article 68(1)(b)).</w:t>
            </w:r>
          </w:p>
          <w:p w14:paraId="62800C57" w14:textId="1F1CD7F4" w:rsidR="00D72A68" w:rsidRPr="00D72A68" w:rsidRDefault="00D72A68" w:rsidP="00A40C29">
            <w:pPr>
              <w:numPr>
                <w:ilvl w:val="0"/>
                <w:numId w:val="3"/>
              </w:numPr>
              <w:rPr>
                <w:rFonts w:ascii="Calibri" w:hAnsi="Calibri" w:cs="Calibri"/>
                <w:b/>
                <w:bCs/>
                <w:color w:val="000000"/>
                <w:shd w:val="clear" w:color="auto" w:fill="FFFFFF"/>
              </w:rPr>
            </w:pPr>
            <w:r w:rsidRPr="00D72A68">
              <w:rPr>
                <w:rFonts w:ascii="Calibri" w:hAnsi="Calibri" w:cs="Calibri"/>
                <w:b/>
                <w:bCs/>
                <w:color w:val="000000"/>
                <w:shd w:val="clear" w:color="auto" w:fill="FFFFFF"/>
              </w:rPr>
              <w:t xml:space="preserve">Technical specifications (e.g. setting minimum levels </w:t>
            </w:r>
            <w:r w:rsidR="00C966D9">
              <w:rPr>
                <w:rFonts w:ascii="Calibri" w:hAnsi="Calibri" w:cs="Calibri"/>
                <w:b/>
                <w:bCs/>
                <w:color w:val="000000"/>
                <w:shd w:val="clear" w:color="auto" w:fill="FFFFFF"/>
              </w:rPr>
              <w:t>of</w:t>
            </w:r>
            <w:r w:rsidRPr="00D72A68">
              <w:rPr>
                <w:rFonts w:ascii="Calibri" w:hAnsi="Calibri" w:cs="Calibri"/>
                <w:b/>
                <w:bCs/>
                <w:color w:val="000000"/>
                <w:shd w:val="clear" w:color="auto" w:fill="FFFFFF"/>
              </w:rPr>
              <w:t xml:space="preserve"> energy efficiency or maximum </w:t>
            </w:r>
            <w:r w:rsidR="00C966D9">
              <w:rPr>
                <w:rFonts w:ascii="Calibri" w:hAnsi="Calibri" w:cs="Calibri"/>
                <w:b/>
                <w:bCs/>
                <w:color w:val="000000"/>
                <w:shd w:val="clear" w:color="auto" w:fill="FFFFFF"/>
              </w:rPr>
              <w:t>product carbon</w:t>
            </w:r>
            <w:r w:rsidRPr="00D72A68">
              <w:rPr>
                <w:rFonts w:ascii="Calibri" w:hAnsi="Calibri" w:cs="Calibri"/>
                <w:b/>
                <w:bCs/>
                <w:color w:val="000000"/>
                <w:shd w:val="clear" w:color="auto" w:fill="FFFFFF"/>
              </w:rPr>
              <w:t xml:space="preserve"> emissions)</w:t>
            </w:r>
          </w:p>
          <w:p w14:paraId="65665C84" w14:textId="158FA2AB" w:rsidR="00D72A68" w:rsidRPr="007A72D4" w:rsidRDefault="00D72A68" w:rsidP="007A72D4">
            <w:pPr>
              <w:pStyle w:val="ListParagraph"/>
              <w:numPr>
                <w:ilvl w:val="1"/>
                <w:numId w:val="27"/>
              </w:numPr>
              <w:rPr>
                <w:rFonts w:ascii="Calibri" w:hAnsi="Calibri" w:cs="Calibri"/>
                <w:color w:val="000000"/>
                <w:shd w:val="clear" w:color="auto" w:fill="FFFFFF"/>
              </w:rPr>
            </w:pPr>
            <w:r w:rsidRPr="007A72D4">
              <w:rPr>
                <w:rFonts w:ascii="Calibri" w:hAnsi="Calibri" w:cs="Calibri"/>
                <w:color w:val="000000"/>
                <w:shd w:val="clear" w:color="auto" w:fill="FFFFFF"/>
              </w:rPr>
              <w:t>Technical specifications are set out in the tender documents</w:t>
            </w:r>
            <w:r w:rsidR="00972510" w:rsidRPr="007A72D4">
              <w:rPr>
                <w:rFonts w:ascii="Calibri" w:hAnsi="Calibri" w:cs="Calibri"/>
                <w:color w:val="000000"/>
                <w:shd w:val="clear" w:color="auto" w:fill="FFFFFF"/>
              </w:rPr>
              <w:t xml:space="preserve"> (Article 42(1))</w:t>
            </w:r>
            <w:r w:rsidRPr="007A72D4">
              <w:rPr>
                <w:rFonts w:ascii="Calibri" w:hAnsi="Calibri" w:cs="Calibri"/>
                <w:color w:val="000000"/>
                <w:shd w:val="clear" w:color="auto" w:fill="FFFFFF"/>
              </w:rPr>
              <w:t>. They may prescribe the required characteristics of a work, service or supply, including the level of environmental friendliness and climate performance</w:t>
            </w:r>
            <w:r w:rsidR="000A3F39" w:rsidRPr="007A72D4">
              <w:rPr>
                <w:rFonts w:ascii="Calibri" w:hAnsi="Calibri" w:cs="Calibri"/>
                <w:color w:val="000000"/>
                <w:shd w:val="clear" w:color="auto" w:fill="FFFFFF"/>
              </w:rPr>
              <w:t xml:space="preserve"> (Annex VII).</w:t>
            </w:r>
          </w:p>
          <w:p w14:paraId="24F1DCE2" w14:textId="5804DB44" w:rsidR="009D0C34" w:rsidRPr="007A72D4" w:rsidRDefault="00D72A68" w:rsidP="007A72D4">
            <w:pPr>
              <w:pStyle w:val="ListParagraph"/>
              <w:numPr>
                <w:ilvl w:val="1"/>
                <w:numId w:val="27"/>
              </w:numPr>
              <w:rPr>
                <w:rFonts w:ascii="Calibri" w:hAnsi="Calibri" w:cs="Calibri"/>
                <w:color w:val="000000"/>
                <w:shd w:val="clear" w:color="auto" w:fill="FFFFFF"/>
              </w:rPr>
            </w:pPr>
            <w:r w:rsidRPr="007A72D4">
              <w:rPr>
                <w:rFonts w:ascii="Calibri" w:hAnsi="Calibri" w:cs="Calibri"/>
                <w:color w:val="000000"/>
                <w:shd w:val="clear" w:color="auto" w:fill="FFFFFF"/>
              </w:rPr>
              <w:t>Technical specifications may be formulated as performance or functional requirements, including environmental characteristics, provided that the parameters are sufficiently precise</w:t>
            </w:r>
            <w:r w:rsidR="009D0C34" w:rsidRPr="007A72D4">
              <w:rPr>
                <w:rFonts w:ascii="Calibri" w:hAnsi="Calibri" w:cs="Calibri"/>
                <w:color w:val="000000"/>
                <w:shd w:val="clear" w:color="auto" w:fill="FFFFFF"/>
              </w:rPr>
              <w:t xml:space="preserve"> (</w:t>
            </w:r>
            <w:r w:rsidR="001E0AA2" w:rsidRPr="007A72D4">
              <w:rPr>
                <w:rFonts w:ascii="Calibri" w:hAnsi="Calibri" w:cs="Calibri"/>
                <w:color w:val="000000"/>
                <w:shd w:val="clear" w:color="auto" w:fill="FFFFFF"/>
              </w:rPr>
              <w:t>Article 42).</w:t>
            </w:r>
          </w:p>
          <w:p w14:paraId="6F5B63F0" w14:textId="02963FDE" w:rsidR="00D72A68" w:rsidRPr="00D72A68" w:rsidRDefault="00C966D9" w:rsidP="00A40C29">
            <w:pPr>
              <w:numPr>
                <w:ilvl w:val="0"/>
                <w:numId w:val="3"/>
              </w:numPr>
              <w:rPr>
                <w:rFonts w:ascii="Calibri" w:hAnsi="Calibri" w:cs="Calibri"/>
                <w:b/>
                <w:bCs/>
                <w:color w:val="000000"/>
                <w:shd w:val="clear" w:color="auto" w:fill="FFFFFF"/>
              </w:rPr>
            </w:pPr>
            <w:r>
              <w:rPr>
                <w:rFonts w:ascii="Calibri" w:hAnsi="Calibri" w:cs="Calibri"/>
                <w:b/>
                <w:bCs/>
                <w:color w:val="000000"/>
                <w:shd w:val="clear" w:color="auto" w:fill="FFFFFF"/>
              </w:rPr>
              <w:t>Contract a</w:t>
            </w:r>
            <w:r w:rsidR="00D72A68" w:rsidRPr="00D72A68">
              <w:rPr>
                <w:rFonts w:ascii="Calibri" w:hAnsi="Calibri" w:cs="Calibri"/>
                <w:b/>
                <w:bCs/>
                <w:color w:val="000000"/>
                <w:shd w:val="clear" w:color="auto" w:fill="FFFFFF"/>
              </w:rPr>
              <w:t xml:space="preserve">ward criteria or </w:t>
            </w:r>
            <w:r>
              <w:rPr>
                <w:rFonts w:ascii="Calibri" w:hAnsi="Calibri" w:cs="Calibri"/>
                <w:b/>
                <w:bCs/>
                <w:color w:val="000000"/>
                <w:shd w:val="clear" w:color="auto" w:fill="FFFFFF"/>
              </w:rPr>
              <w:t>value</w:t>
            </w:r>
            <w:r w:rsidR="006D7BA3">
              <w:rPr>
                <w:rFonts w:ascii="Calibri" w:hAnsi="Calibri" w:cs="Calibri"/>
                <w:b/>
                <w:bCs/>
                <w:color w:val="000000"/>
                <w:shd w:val="clear" w:color="auto" w:fill="FFFFFF"/>
              </w:rPr>
              <w:t xml:space="preserve"> for money evaluation frameworks</w:t>
            </w:r>
            <w:r w:rsidR="00D72A68" w:rsidRPr="00D72A68">
              <w:rPr>
                <w:rFonts w:ascii="Calibri" w:hAnsi="Calibri" w:cs="Calibri"/>
                <w:b/>
                <w:bCs/>
                <w:color w:val="000000"/>
                <w:shd w:val="clear" w:color="auto" w:fill="FFFFFF"/>
              </w:rPr>
              <w:t xml:space="preserve"> (e.g. minimum scores/performance levels based on climate-related criteria)</w:t>
            </w:r>
          </w:p>
          <w:p w14:paraId="2015D13F" w14:textId="5F41801F" w:rsidR="00D72A68" w:rsidRPr="007A72D4" w:rsidRDefault="00D72A68" w:rsidP="007A72D4">
            <w:pPr>
              <w:pStyle w:val="ListParagraph"/>
              <w:numPr>
                <w:ilvl w:val="1"/>
                <w:numId w:val="26"/>
              </w:numPr>
              <w:rPr>
                <w:rFonts w:ascii="Calibri" w:hAnsi="Calibri" w:cs="Calibri"/>
                <w:color w:val="000000"/>
                <w:shd w:val="clear" w:color="auto" w:fill="FFFFFF"/>
              </w:rPr>
            </w:pPr>
            <w:r w:rsidRPr="007A72D4">
              <w:rPr>
                <w:rFonts w:ascii="Calibri" w:hAnsi="Calibri" w:cs="Calibri"/>
                <w:color w:val="000000"/>
                <w:shd w:val="clear" w:color="auto" w:fill="FFFFFF"/>
              </w:rPr>
              <w:t>The award of contracts is based on the “best price-quality ratio”. This can be determined, among other things, on the basis of qualitative, environmental and/or social aspects related to the subject matter of the contract</w:t>
            </w:r>
            <w:r w:rsidR="001E1F5E" w:rsidRPr="007A72D4">
              <w:rPr>
                <w:rFonts w:ascii="Calibri" w:hAnsi="Calibri" w:cs="Calibri"/>
                <w:color w:val="000000"/>
                <w:shd w:val="clear" w:color="auto" w:fill="FFFFFF"/>
              </w:rPr>
              <w:t xml:space="preserve"> (Article 67</w:t>
            </w:r>
            <w:r w:rsidR="00505181" w:rsidRPr="007A72D4">
              <w:rPr>
                <w:rFonts w:ascii="Calibri" w:hAnsi="Calibri" w:cs="Calibri"/>
                <w:color w:val="000000"/>
                <w:shd w:val="clear" w:color="auto" w:fill="FFFFFF"/>
              </w:rPr>
              <w:t>(2)</w:t>
            </w:r>
            <w:r w:rsidR="001E1F5E" w:rsidRPr="007A72D4">
              <w:rPr>
                <w:rFonts w:ascii="Calibri" w:hAnsi="Calibri" w:cs="Calibri"/>
                <w:color w:val="000000"/>
                <w:shd w:val="clear" w:color="auto" w:fill="FFFFFF"/>
              </w:rPr>
              <w:t>)</w:t>
            </w:r>
            <w:r w:rsidRPr="007A72D4">
              <w:rPr>
                <w:rFonts w:ascii="Calibri" w:hAnsi="Calibri" w:cs="Calibri"/>
                <w:color w:val="000000"/>
                <w:shd w:val="clear" w:color="auto" w:fill="FFFFFF"/>
              </w:rPr>
              <w:t>.</w:t>
            </w:r>
          </w:p>
          <w:p w14:paraId="77AF65A9" w14:textId="7FD5037E" w:rsidR="00D72A68" w:rsidRPr="007A72D4" w:rsidRDefault="00D72A68" w:rsidP="007A72D4">
            <w:pPr>
              <w:pStyle w:val="ListParagraph"/>
              <w:numPr>
                <w:ilvl w:val="1"/>
                <w:numId w:val="26"/>
              </w:numPr>
              <w:rPr>
                <w:rFonts w:ascii="Calibri" w:hAnsi="Calibri" w:cs="Calibri"/>
                <w:color w:val="000000"/>
                <w:shd w:val="clear" w:color="auto" w:fill="FFFFFF"/>
              </w:rPr>
            </w:pPr>
            <w:r w:rsidRPr="007A72D4">
              <w:rPr>
                <w:rFonts w:ascii="Calibri" w:hAnsi="Calibri" w:cs="Calibri"/>
                <w:color w:val="000000"/>
                <w:shd w:val="clear" w:color="auto" w:fill="FFFFFF"/>
              </w:rPr>
              <w:t>Special conditions for the performance of a contract (contract terms) may be linked to economic, innovation, environmental or social/labour considerations, provided that they are related to the subject matter of the contract and are mentioned in the call for competition or in the tender documents</w:t>
            </w:r>
            <w:r w:rsidR="00505181" w:rsidRPr="007A72D4">
              <w:rPr>
                <w:rFonts w:ascii="Calibri" w:hAnsi="Calibri" w:cs="Calibri"/>
                <w:color w:val="000000"/>
                <w:shd w:val="clear" w:color="auto" w:fill="FFFFFF"/>
              </w:rPr>
              <w:t xml:space="preserve"> (Article 70).</w:t>
            </w:r>
          </w:p>
          <w:p w14:paraId="1EDBF876" w14:textId="534A2E83" w:rsidR="00D72A68" w:rsidRPr="00D72A68" w:rsidRDefault="00D72A68" w:rsidP="00A40C29">
            <w:pPr>
              <w:numPr>
                <w:ilvl w:val="0"/>
                <w:numId w:val="3"/>
              </w:numPr>
              <w:rPr>
                <w:rFonts w:ascii="Calibri" w:hAnsi="Calibri" w:cs="Calibri"/>
                <w:b/>
                <w:bCs/>
                <w:color w:val="000000"/>
                <w:shd w:val="clear" w:color="auto" w:fill="FFFFFF"/>
              </w:rPr>
            </w:pPr>
            <w:r w:rsidRPr="00D72A68">
              <w:rPr>
                <w:rFonts w:ascii="Calibri" w:hAnsi="Calibri" w:cs="Calibri"/>
                <w:b/>
                <w:bCs/>
                <w:color w:val="000000"/>
                <w:shd w:val="clear" w:color="auto" w:fill="FFFFFF"/>
              </w:rPr>
              <w:t xml:space="preserve">Other procurement </w:t>
            </w:r>
            <w:r w:rsidR="00643E46">
              <w:rPr>
                <w:rFonts w:ascii="Calibri" w:hAnsi="Calibri" w:cs="Calibri"/>
                <w:b/>
                <w:bCs/>
                <w:color w:val="000000"/>
                <w:shd w:val="clear" w:color="auto" w:fill="FFFFFF"/>
              </w:rPr>
              <w:t>stage allowances</w:t>
            </w:r>
            <w:r w:rsidRPr="00D72A68">
              <w:rPr>
                <w:rFonts w:ascii="Calibri" w:hAnsi="Calibri" w:cs="Calibri"/>
                <w:b/>
                <w:bCs/>
                <w:color w:val="000000"/>
                <w:shd w:val="clear" w:color="auto" w:fill="FFFFFF"/>
              </w:rPr>
              <w:t>, recommendations or requirements</w:t>
            </w:r>
          </w:p>
          <w:p w14:paraId="77D795EA" w14:textId="4033288E" w:rsidR="00D72A68" w:rsidRPr="00D72A68" w:rsidRDefault="00D72A68" w:rsidP="007A72D4">
            <w:pPr>
              <w:numPr>
                <w:ilvl w:val="1"/>
                <w:numId w:val="25"/>
              </w:numPr>
              <w:rPr>
                <w:rFonts w:ascii="Calibri" w:hAnsi="Calibri" w:cs="Calibri"/>
                <w:color w:val="000000"/>
                <w:shd w:val="clear" w:color="auto" w:fill="FFFFFF"/>
              </w:rPr>
            </w:pPr>
            <w:r w:rsidRPr="00D72A68">
              <w:rPr>
                <w:rFonts w:ascii="Calibri" w:hAnsi="Calibri" w:cs="Calibri"/>
                <w:color w:val="000000"/>
                <w:shd w:val="clear" w:color="auto" w:fill="FFFFFF"/>
              </w:rPr>
              <w:t>The Directive emphasises the importance of public procurement as a driver of innovation</w:t>
            </w:r>
            <w:r w:rsidR="00A654F0">
              <w:rPr>
                <w:rFonts w:ascii="Calibri" w:hAnsi="Calibri" w:cs="Calibri"/>
                <w:color w:val="000000"/>
                <w:shd w:val="clear" w:color="auto" w:fill="FFFFFF"/>
              </w:rPr>
              <w:t xml:space="preserve"> (Paragraph 47 and 95)</w:t>
            </w:r>
            <w:r w:rsidRPr="00D72A68">
              <w:rPr>
                <w:rFonts w:ascii="Calibri" w:hAnsi="Calibri" w:cs="Calibri"/>
                <w:color w:val="000000"/>
                <w:shd w:val="clear" w:color="auto" w:fill="FFFFFF"/>
              </w:rPr>
              <w:t>. A specific procedure, the innovation partnership, has been introduced to enable the development and purchase of new, innovative products, services or works when standard solutions are not sufficient</w:t>
            </w:r>
            <w:r w:rsidR="00E72D41">
              <w:rPr>
                <w:rFonts w:ascii="Calibri" w:hAnsi="Calibri" w:cs="Calibri"/>
                <w:color w:val="000000"/>
                <w:shd w:val="clear" w:color="auto" w:fill="FFFFFF"/>
              </w:rPr>
              <w:t xml:space="preserve"> (Article 31).</w:t>
            </w:r>
          </w:p>
          <w:p w14:paraId="249F240D" w14:textId="152A501E" w:rsidR="00D72A68" w:rsidRPr="00D72A68" w:rsidRDefault="00D72A68" w:rsidP="007A72D4">
            <w:pPr>
              <w:numPr>
                <w:ilvl w:val="1"/>
                <w:numId w:val="25"/>
              </w:numPr>
              <w:rPr>
                <w:rFonts w:ascii="Calibri" w:hAnsi="Calibri" w:cs="Calibri"/>
                <w:color w:val="000000"/>
                <w:shd w:val="clear" w:color="auto" w:fill="FFFFFF"/>
              </w:rPr>
            </w:pPr>
            <w:r w:rsidRPr="00D72A68">
              <w:rPr>
                <w:rFonts w:ascii="Calibri" w:hAnsi="Calibri" w:cs="Calibri"/>
                <w:color w:val="000000"/>
                <w:shd w:val="clear" w:color="auto" w:fill="FFFFFF"/>
              </w:rPr>
              <w:t>Contracting authorities are encouraged to allow variants, which can stimulate innovative solutions</w:t>
            </w:r>
            <w:r w:rsidR="00946653">
              <w:rPr>
                <w:rFonts w:ascii="Calibri" w:hAnsi="Calibri" w:cs="Calibri"/>
                <w:color w:val="000000"/>
                <w:shd w:val="clear" w:color="auto" w:fill="FFFFFF"/>
              </w:rPr>
              <w:t xml:space="preserve"> (Article 45).</w:t>
            </w:r>
          </w:p>
          <w:p w14:paraId="0836CBE3" w14:textId="5C18C246" w:rsidR="00D72A68" w:rsidRPr="00D72A68" w:rsidRDefault="00D72A68" w:rsidP="007A72D4">
            <w:pPr>
              <w:numPr>
                <w:ilvl w:val="1"/>
                <w:numId w:val="25"/>
              </w:numPr>
              <w:rPr>
                <w:rFonts w:ascii="Calibri" w:hAnsi="Calibri" w:cs="Calibri"/>
                <w:color w:val="000000"/>
                <w:shd w:val="clear" w:color="auto" w:fill="FFFFFF"/>
              </w:rPr>
            </w:pPr>
            <w:r w:rsidRPr="00D72A68">
              <w:rPr>
                <w:rFonts w:ascii="Calibri" w:hAnsi="Calibri" w:cs="Calibri"/>
                <w:color w:val="000000"/>
                <w:shd w:val="clear" w:color="auto" w:fill="FFFFFF"/>
              </w:rPr>
              <w:t>Prior market consultations are allowed to inform entrepreneurs of procurement plans and conditions and to seek advice from independent experts, bodies or market participants. This can help in planning environmentally friendly procurement procedures, provided that it does not distort competition</w:t>
            </w:r>
            <w:r w:rsidR="003F24A1">
              <w:rPr>
                <w:rFonts w:ascii="Calibri" w:hAnsi="Calibri" w:cs="Calibri"/>
                <w:color w:val="000000"/>
                <w:shd w:val="clear" w:color="auto" w:fill="FFFFFF"/>
              </w:rPr>
              <w:t xml:space="preserve"> (Article 40).</w:t>
            </w:r>
          </w:p>
          <w:p w14:paraId="1FEBD8A5" w14:textId="29CF0150" w:rsidR="004557A1" w:rsidRPr="00733A8C" w:rsidRDefault="00D72A68" w:rsidP="007A72D4">
            <w:pPr>
              <w:numPr>
                <w:ilvl w:val="1"/>
                <w:numId w:val="25"/>
              </w:numPr>
              <w:rPr>
                <w:rStyle w:val="normaltextrun"/>
                <w:rFonts w:ascii="Calibri" w:hAnsi="Calibri" w:cs="Calibri"/>
                <w:color w:val="000000"/>
                <w:shd w:val="clear" w:color="auto" w:fill="FFFFFF"/>
              </w:rPr>
            </w:pPr>
            <w:r w:rsidRPr="00D72A68">
              <w:rPr>
                <w:rFonts w:ascii="Calibri" w:hAnsi="Calibri" w:cs="Calibri"/>
                <w:color w:val="000000"/>
                <w:shd w:val="clear" w:color="auto" w:fill="FFFFFF"/>
              </w:rPr>
              <w:lastRenderedPageBreak/>
              <w:t>The Directive aims to ensure the efficient use of public funds while supporting common societal objectives, including sustainability and inclusive growth</w:t>
            </w:r>
            <w:r w:rsidR="00DC2FF0">
              <w:rPr>
                <w:rFonts w:ascii="Calibri" w:hAnsi="Calibri" w:cs="Calibri"/>
                <w:color w:val="000000"/>
                <w:shd w:val="clear" w:color="auto" w:fill="FFFFFF"/>
              </w:rPr>
              <w:t xml:space="preserve"> (Paragraph 2).</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2029C041" w:rsidR="008A4685" w:rsidRPr="00CF2E7C" w:rsidRDefault="0034286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0111879" w:rsidR="008A4685" w:rsidRPr="00CF2E7C" w:rsidRDefault="0020429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6F63506B"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4C0D489" w:rsidR="008A4685" w:rsidRPr="00CF2E7C" w:rsidRDefault="0020429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3AE4C0AF"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F5DF1E4" w:rsidR="008A4685" w:rsidRPr="000A6B83" w:rsidRDefault="00677030" w:rsidP="00CF2E7C">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3563C3DE"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E4CC050" w14:textId="324C3FCF" w:rsidR="00592EBB" w:rsidRPr="00592EBB" w:rsidRDefault="00592EBB" w:rsidP="00A40C29">
            <w:pPr>
              <w:numPr>
                <w:ilvl w:val="0"/>
                <w:numId w:val="4"/>
              </w:numPr>
              <w:rPr>
                <w:rFonts w:ascii="Calibri" w:hAnsi="Calibri" w:cs="Calibri"/>
                <w:color w:val="000000"/>
                <w:shd w:val="clear" w:color="auto" w:fill="FFFFFF"/>
              </w:rPr>
            </w:pPr>
            <w:r w:rsidRPr="00592EBB">
              <w:rPr>
                <w:rFonts w:ascii="Calibri" w:hAnsi="Calibri" w:cs="Calibri"/>
                <w:color w:val="000000"/>
                <w:shd w:val="clear" w:color="auto" w:fill="FFFFFF"/>
              </w:rPr>
              <w:t>The Directive states that contracting authorities may exclude an economic operator from participating in a procurement procedure if they demonstrate by appropriate means that the applicable obligations in the field of environmental law have been infringed</w:t>
            </w:r>
            <w:r w:rsidR="00DD238B">
              <w:rPr>
                <w:rFonts w:ascii="Calibri" w:hAnsi="Calibri" w:cs="Calibri"/>
                <w:color w:val="000000"/>
                <w:shd w:val="clear" w:color="auto" w:fill="FFFFFF"/>
              </w:rPr>
              <w:t xml:space="preserve"> (Paragraph 101).</w:t>
            </w:r>
          </w:p>
          <w:p w14:paraId="16A09550" w14:textId="79C433A4" w:rsidR="0036671B" w:rsidRPr="00C9106F" w:rsidRDefault="00592EBB" w:rsidP="00C9106F">
            <w:pPr>
              <w:numPr>
                <w:ilvl w:val="0"/>
                <w:numId w:val="4"/>
              </w:numPr>
              <w:rPr>
                <w:rStyle w:val="normaltextrun"/>
                <w:rFonts w:ascii="Calibri" w:hAnsi="Calibri" w:cs="Calibri"/>
                <w:color w:val="000000"/>
                <w:shd w:val="clear" w:color="auto" w:fill="FFFFFF"/>
              </w:rPr>
            </w:pPr>
            <w:r w:rsidRPr="00592EBB">
              <w:rPr>
                <w:rFonts w:ascii="Calibri" w:hAnsi="Calibri" w:cs="Calibri"/>
                <w:color w:val="000000"/>
                <w:shd w:val="clear" w:color="auto" w:fill="FFFFFF"/>
              </w:rPr>
              <w:t>A tender must be rejected if the contracting authority has established that the abnormally low prices or costs are the result of non-compliance with mandatory environmental, social or labour law requirements under Union law, national law compatible with Union law, or international labour law requirements</w:t>
            </w:r>
            <w:r w:rsidR="001E0E7B">
              <w:rPr>
                <w:rFonts w:ascii="Calibri" w:hAnsi="Calibri" w:cs="Calibri"/>
                <w:color w:val="000000"/>
                <w:shd w:val="clear" w:color="auto" w:fill="FFFFFF"/>
              </w:rPr>
              <w:t xml:space="preserve"> (Article 69(3)).</w:t>
            </w:r>
          </w:p>
        </w:tc>
      </w:tr>
    </w:tbl>
    <w:p w14:paraId="5E791363" w14:textId="77777777" w:rsidR="00C85DD9" w:rsidRDefault="00C85DD9"/>
    <w:p w14:paraId="4DC6C8F2" w14:textId="6966DF3C" w:rsidR="00C85DD9" w:rsidRDefault="005E50FD" w:rsidP="00C85DD9">
      <w:pPr>
        <w:pStyle w:val="Heading2"/>
      </w:pPr>
      <w:bookmarkStart w:id="22" w:name="_Toc198223618"/>
      <w:r>
        <w:lastRenderedPageBreak/>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9BD15AB" w:rsidR="008A4685" w:rsidRPr="00CF2E7C" w:rsidRDefault="00BF32A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5F50349" w:rsidR="008A4685" w:rsidRPr="00CF2E7C" w:rsidRDefault="00BF32A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38BC9E8" w:rsidR="008A4685" w:rsidRPr="00CF2E7C" w:rsidRDefault="00BF32A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44CDA093" w:rsidR="008A4685" w:rsidRPr="00CF2E7C" w:rsidRDefault="00BF32A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3E42080" w:rsidR="008A4685" w:rsidRPr="00CF2E7C" w:rsidRDefault="00511F2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05CA76CF" w:rsidR="008A4685" w:rsidRPr="00CF2E7C" w:rsidRDefault="00916F8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AD3AE16" w:rsidR="008A4685" w:rsidRPr="00CF2E7C" w:rsidRDefault="00916F8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6550CFC"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7E0048D" w:rsidR="008A4685" w:rsidRPr="00CF2E7C" w:rsidRDefault="006832A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62D98A3" w:rsidR="008A4685" w:rsidRPr="00CF2E7C" w:rsidRDefault="005C6A6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37CC616"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1A080B8" w14:textId="03AD4388" w:rsidR="00DF1149" w:rsidRPr="00DF1149" w:rsidRDefault="00DF1149" w:rsidP="00DF1149">
            <w:pPr>
              <w:rPr>
                <w:rFonts w:ascii="Calibri" w:hAnsi="Calibri" w:cs="Calibri"/>
                <w:color w:val="000000"/>
                <w:shd w:val="clear" w:color="auto" w:fill="FFFFFF"/>
              </w:rPr>
            </w:pPr>
            <w:r w:rsidRPr="00DF1149">
              <w:rPr>
                <w:rFonts w:ascii="Calibri" w:hAnsi="Calibri" w:cs="Calibri"/>
                <w:color w:val="000000"/>
                <w:shd w:val="clear" w:color="auto" w:fill="FFFFFF"/>
              </w:rPr>
              <w:t>Contracting authorities may require the submission of a statement from an independent body certifying that the contractor complies with certain environmental management systems or standards, such as the EU Eco-Management and Audit Scheme (EMAS) or other recognised environmental management systems/standards. They must accept equivalent certificates or other appropriate evidence of equivalent measures if the contractor cannot obtain the specific label for reasons that are not attributable to him</w:t>
            </w:r>
            <w:r w:rsidR="00485C3A" w:rsidRPr="00A71B05">
              <w:rPr>
                <w:rFonts w:ascii="Calibri" w:hAnsi="Calibri" w:cs="Calibri"/>
                <w:color w:val="000000"/>
                <w:shd w:val="clear" w:color="auto" w:fill="FFFFFF"/>
              </w:rPr>
              <w:t xml:space="preserve"> (Article 62(2)).</w:t>
            </w:r>
          </w:p>
          <w:p w14:paraId="18A99674" w14:textId="20946AFE" w:rsidR="00CD5934" w:rsidRPr="00A71B05" w:rsidRDefault="00DF1149" w:rsidP="00CF2E7C">
            <w:pPr>
              <w:rPr>
                <w:rStyle w:val="normaltextrun"/>
                <w:rFonts w:ascii="Calibri" w:hAnsi="Calibri" w:cs="Calibri"/>
                <w:color w:val="000000"/>
                <w:shd w:val="clear" w:color="auto" w:fill="FFFFFF"/>
              </w:rPr>
            </w:pPr>
            <w:r w:rsidRPr="00DF1149">
              <w:rPr>
                <w:rFonts w:ascii="Calibri" w:hAnsi="Calibri" w:cs="Calibri"/>
                <w:color w:val="000000"/>
                <w:shd w:val="clear" w:color="auto" w:fill="FFFFFF"/>
              </w:rPr>
              <w:lastRenderedPageBreak/>
              <w:t>Contracting authorities may also refer to specific quality labels (e.g. the European environmental label or (multi-)national environmental labels) as proof of compliance with the required specifications, provided that the label requirements are related to the subject matter of the contract, are based on objectively verifiable and non-discriminatory criteria, and are accessible to all parties</w:t>
            </w:r>
            <w:r w:rsidR="0072249F" w:rsidRPr="00A71B05">
              <w:rPr>
                <w:rFonts w:ascii="Calibri" w:hAnsi="Calibri" w:cs="Calibri"/>
                <w:color w:val="000000"/>
                <w:shd w:val="clear" w:color="auto" w:fill="FFFFFF"/>
              </w:rPr>
              <w:t xml:space="preserve"> (Article 43).</w:t>
            </w: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672C629" w:rsidR="008A4685" w:rsidRPr="00CF2E7C" w:rsidRDefault="00BE1B3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5F4270D8" w:rsidR="008A4685" w:rsidRPr="00CF2E7C" w:rsidRDefault="00564D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904FAFB" w:rsidR="008A4685" w:rsidRPr="00CF2E7C" w:rsidRDefault="00BD1CA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F1D61C0" w:rsidR="008A4685" w:rsidRPr="00CF2E7C" w:rsidRDefault="00BD1CA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53BD22D" w:rsidR="008A4685" w:rsidRPr="00CF2E7C" w:rsidRDefault="00BD1CA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98743DD" w:rsidR="008A4685" w:rsidRPr="00CF2E7C" w:rsidRDefault="003D2D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5B31EC1E" w:rsidR="008A4685" w:rsidRPr="00CF2E7C" w:rsidRDefault="003970C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6C3076CD" w:rsidR="008A4685" w:rsidRPr="00CF2E7C" w:rsidRDefault="003531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F02EBF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E249072" w:rsidR="008A4685" w:rsidRPr="00CF2E7C" w:rsidRDefault="00885BE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39A306AF" w:rsidR="008A4685" w:rsidRPr="00CF2E7C" w:rsidRDefault="003531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3E44301B" w:rsidR="008A4685" w:rsidRPr="00CF2E7C" w:rsidRDefault="003531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DE0676B"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44EC422C" w:rsidR="008A4685" w:rsidRPr="00CF2E7C" w:rsidRDefault="00A667B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lastRenderedPageBreak/>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26CB913" w14:textId="77777777" w:rsidR="00BA556E" w:rsidRPr="00BA556E" w:rsidRDefault="00BA556E" w:rsidP="00BA556E">
            <w:pPr>
              <w:rPr>
                <w:rFonts w:ascii="Calibri" w:hAnsi="Calibri" w:cs="Calibri"/>
                <w:b/>
                <w:bCs/>
                <w:color w:val="000000"/>
                <w:shd w:val="clear" w:color="auto" w:fill="FFFFFF"/>
              </w:rPr>
            </w:pPr>
            <w:r w:rsidRPr="00BA556E">
              <w:rPr>
                <w:rFonts w:ascii="Calibri" w:hAnsi="Calibri" w:cs="Calibri"/>
                <w:b/>
                <w:bCs/>
                <w:color w:val="000000"/>
                <w:shd w:val="clear" w:color="auto" w:fill="FFFFFF"/>
              </w:rPr>
              <w:t>2. Product carbon emissions</w:t>
            </w:r>
          </w:p>
          <w:p w14:paraId="0004EBCB" w14:textId="66D67944" w:rsidR="00BA556E" w:rsidRPr="00BA556E" w:rsidRDefault="00BA556E" w:rsidP="00A40C29">
            <w:pPr>
              <w:pStyle w:val="ListParagraph"/>
              <w:numPr>
                <w:ilvl w:val="0"/>
                <w:numId w:val="7"/>
              </w:numPr>
              <w:rPr>
                <w:rFonts w:ascii="Calibri" w:hAnsi="Calibri" w:cs="Calibri"/>
                <w:color w:val="000000"/>
                <w:shd w:val="clear" w:color="auto" w:fill="FFFFFF"/>
              </w:rPr>
            </w:pPr>
            <w:r w:rsidRPr="00BA556E">
              <w:rPr>
                <w:rFonts w:ascii="Calibri" w:hAnsi="Calibri" w:cs="Calibri"/>
                <w:color w:val="000000"/>
                <w:shd w:val="clear" w:color="auto" w:fill="FFFFFF"/>
              </w:rPr>
              <w:t>The calculation of life cycle costs may include costs attributable to external environmental impacts, such as pollution caused by the extraction of raw materials, by the product itself or during its production, provided that these can be expressed in monetary terms and verified. This explicitly includes the costs of greenhouse gas emissions and other polluting emissions</w:t>
            </w:r>
            <w:r w:rsidR="00B22BFB">
              <w:rPr>
                <w:rFonts w:ascii="Calibri" w:hAnsi="Calibri" w:cs="Calibri"/>
                <w:color w:val="000000"/>
                <w:shd w:val="clear" w:color="auto" w:fill="FFFFFF"/>
              </w:rPr>
              <w:t xml:space="preserve"> (Article 68(b)).</w:t>
            </w:r>
          </w:p>
          <w:p w14:paraId="57D66EB6" w14:textId="77777777" w:rsidR="00BA556E" w:rsidRPr="00BA556E" w:rsidRDefault="00BA556E" w:rsidP="00BA556E">
            <w:pPr>
              <w:rPr>
                <w:rFonts w:ascii="Calibri" w:hAnsi="Calibri" w:cs="Calibri"/>
                <w:b/>
                <w:bCs/>
                <w:color w:val="000000"/>
                <w:shd w:val="clear" w:color="auto" w:fill="FFFFFF"/>
              </w:rPr>
            </w:pPr>
            <w:r w:rsidRPr="00BA556E">
              <w:rPr>
                <w:rFonts w:ascii="Calibri" w:hAnsi="Calibri" w:cs="Calibri"/>
                <w:b/>
                <w:bCs/>
                <w:color w:val="000000"/>
                <w:shd w:val="clear" w:color="auto" w:fill="FFFFFF"/>
              </w:rPr>
              <w:t>8. Production methods (e.g. organic food or textiles, cold-mix asphalt, deforestation-free products)</w:t>
            </w:r>
          </w:p>
          <w:p w14:paraId="4A64EF1A" w14:textId="6E4598C7" w:rsidR="00BA556E" w:rsidRPr="00885BE1" w:rsidRDefault="00BA556E" w:rsidP="00A40C29">
            <w:pPr>
              <w:pStyle w:val="ListParagraph"/>
              <w:numPr>
                <w:ilvl w:val="0"/>
                <w:numId w:val="20"/>
              </w:numPr>
              <w:rPr>
                <w:rFonts w:ascii="Calibri" w:hAnsi="Calibri" w:cs="Calibri"/>
                <w:color w:val="000000"/>
                <w:shd w:val="clear" w:color="auto" w:fill="FFFFFF"/>
              </w:rPr>
            </w:pPr>
            <w:r w:rsidRPr="009E49AE">
              <w:rPr>
                <w:rFonts w:ascii="Calibri" w:hAnsi="Calibri" w:cs="Calibri"/>
                <w:color w:val="000000"/>
                <w:shd w:val="clear" w:color="auto" w:fill="FFFFFF"/>
              </w:rPr>
              <w:t>The Directive allows technical specifications and award criteria to relate to the specific process or method of production or execution of the works, supplies or services. This may include factors that are not part of the material essence of the product, such as the use of toxic chemicals or the provision of services using energy-efficient machinery</w:t>
            </w:r>
            <w:r w:rsidR="0094546F">
              <w:rPr>
                <w:rFonts w:ascii="Calibri" w:hAnsi="Calibri" w:cs="Calibri"/>
                <w:color w:val="000000"/>
                <w:shd w:val="clear" w:color="auto" w:fill="FFFFFF"/>
              </w:rPr>
              <w:t xml:space="preserve"> (Article 42).</w:t>
            </w:r>
          </w:p>
          <w:p w14:paraId="2E224AB3" w14:textId="77777777" w:rsidR="00BA556E" w:rsidRPr="00BA556E" w:rsidRDefault="00BA556E" w:rsidP="00BA556E">
            <w:pPr>
              <w:rPr>
                <w:rFonts w:ascii="Calibri" w:hAnsi="Calibri" w:cs="Calibri"/>
                <w:b/>
                <w:bCs/>
                <w:color w:val="000000"/>
                <w:shd w:val="clear" w:color="auto" w:fill="FFFFFF"/>
              </w:rPr>
            </w:pPr>
            <w:r w:rsidRPr="00BA556E">
              <w:rPr>
                <w:rFonts w:ascii="Calibri" w:hAnsi="Calibri" w:cs="Calibri"/>
                <w:b/>
                <w:bCs/>
                <w:color w:val="000000"/>
                <w:shd w:val="clear" w:color="auto" w:fill="FFFFFF"/>
              </w:rPr>
              <w:t>10. Availability of life-cycle assessment (LCA) data</w:t>
            </w:r>
          </w:p>
          <w:p w14:paraId="74986EDE" w14:textId="55C943FD" w:rsidR="00BA556E" w:rsidRPr="009E49AE" w:rsidRDefault="00BA556E" w:rsidP="00A40C29">
            <w:pPr>
              <w:pStyle w:val="ListParagraph"/>
              <w:numPr>
                <w:ilvl w:val="0"/>
                <w:numId w:val="19"/>
              </w:numPr>
              <w:rPr>
                <w:rFonts w:ascii="Calibri" w:hAnsi="Calibri" w:cs="Calibri"/>
                <w:color w:val="000000"/>
                <w:shd w:val="clear" w:color="auto" w:fill="FFFFFF"/>
              </w:rPr>
            </w:pPr>
            <w:r w:rsidRPr="009E49AE">
              <w:rPr>
                <w:rFonts w:ascii="Calibri" w:hAnsi="Calibri" w:cs="Calibri"/>
                <w:color w:val="000000"/>
                <w:shd w:val="clear" w:color="auto" w:fill="FFFFFF"/>
              </w:rPr>
              <w:t>For the estimation of life cycle costs, contracting authorities shall specify in the tender documents the information to be provided by tenderers and the methods that the contracting authority will use to determine the life cycle costs</w:t>
            </w:r>
            <w:r w:rsidR="00072B87">
              <w:rPr>
                <w:rFonts w:ascii="Calibri" w:hAnsi="Calibri" w:cs="Calibri"/>
                <w:color w:val="000000"/>
                <w:shd w:val="clear" w:color="auto" w:fill="FFFFFF"/>
              </w:rPr>
              <w:t xml:space="preserve"> (Article 68(2)).</w:t>
            </w:r>
          </w:p>
          <w:p w14:paraId="16E2438C" w14:textId="28813C16" w:rsidR="00BA556E" w:rsidRPr="009E49AE" w:rsidRDefault="00BA556E" w:rsidP="00A40C29">
            <w:pPr>
              <w:pStyle w:val="ListParagraph"/>
              <w:numPr>
                <w:ilvl w:val="0"/>
                <w:numId w:val="19"/>
              </w:numPr>
              <w:rPr>
                <w:rFonts w:ascii="Calibri" w:hAnsi="Calibri" w:cs="Calibri"/>
                <w:color w:val="000000"/>
                <w:shd w:val="clear" w:color="auto" w:fill="FFFFFF"/>
              </w:rPr>
            </w:pPr>
            <w:r w:rsidRPr="009E49AE">
              <w:rPr>
                <w:rFonts w:ascii="Calibri" w:hAnsi="Calibri" w:cs="Calibri"/>
                <w:color w:val="000000"/>
                <w:shd w:val="clear" w:color="auto" w:fill="FFFFFF"/>
              </w:rPr>
              <w:t>The methods for estimating costs attributed to external environmental impacts must be based on objectively verifiable and non-discriminatory criteria and be accessible to all interested parties</w:t>
            </w:r>
            <w:r w:rsidR="0033208B">
              <w:rPr>
                <w:rFonts w:ascii="Calibri" w:hAnsi="Calibri" w:cs="Calibri"/>
                <w:color w:val="000000"/>
                <w:shd w:val="clear" w:color="auto" w:fill="FFFFFF"/>
              </w:rPr>
              <w:t xml:space="preserve"> (Article 68(2)).</w:t>
            </w:r>
          </w:p>
          <w:p w14:paraId="0145FFF2" w14:textId="522F8BDB" w:rsidR="00BA556E" w:rsidRPr="009E49AE" w:rsidRDefault="00BA556E" w:rsidP="00A40C29">
            <w:pPr>
              <w:pStyle w:val="ListParagraph"/>
              <w:numPr>
                <w:ilvl w:val="0"/>
                <w:numId w:val="19"/>
              </w:numPr>
              <w:rPr>
                <w:rFonts w:ascii="Calibri" w:hAnsi="Calibri" w:cs="Calibri"/>
                <w:color w:val="000000"/>
                <w:shd w:val="clear" w:color="auto" w:fill="FFFFFF"/>
              </w:rPr>
            </w:pPr>
            <w:r w:rsidRPr="009E49AE">
              <w:rPr>
                <w:rFonts w:ascii="Calibri" w:hAnsi="Calibri" w:cs="Calibri"/>
                <w:color w:val="000000"/>
                <w:shd w:val="clear" w:color="auto" w:fill="FFFFFF"/>
              </w:rPr>
              <w:t>It is stated that the required information must be reasonably available to normally diligent economic operators</w:t>
            </w:r>
            <w:r w:rsidR="006D5A22">
              <w:rPr>
                <w:rFonts w:ascii="Calibri" w:hAnsi="Calibri" w:cs="Calibri"/>
                <w:color w:val="000000"/>
                <w:shd w:val="clear" w:color="auto" w:fill="FFFFFF"/>
              </w:rPr>
              <w:t xml:space="preserve"> (Article 68(2)).</w:t>
            </w:r>
          </w:p>
          <w:p w14:paraId="75788F39" w14:textId="77777777" w:rsidR="00BA556E" w:rsidRPr="00BA556E" w:rsidRDefault="00BA556E" w:rsidP="00BA556E">
            <w:pPr>
              <w:rPr>
                <w:rFonts w:ascii="Calibri" w:hAnsi="Calibri" w:cs="Calibri"/>
                <w:b/>
                <w:bCs/>
                <w:color w:val="000000"/>
                <w:shd w:val="clear" w:color="auto" w:fill="FFFFFF"/>
              </w:rPr>
            </w:pPr>
            <w:r w:rsidRPr="00BA556E">
              <w:rPr>
                <w:rFonts w:ascii="Calibri" w:hAnsi="Calibri" w:cs="Calibri"/>
                <w:b/>
                <w:bCs/>
                <w:color w:val="000000"/>
                <w:shd w:val="clear" w:color="auto" w:fill="FFFFFF"/>
              </w:rPr>
              <w:t>11. Third-party certification/ecolabels</w:t>
            </w:r>
          </w:p>
          <w:p w14:paraId="2D1B7346" w14:textId="1F92CD55" w:rsidR="00BA556E" w:rsidRPr="009E49AE" w:rsidRDefault="00BA556E" w:rsidP="00A40C29">
            <w:pPr>
              <w:pStyle w:val="ListParagraph"/>
              <w:numPr>
                <w:ilvl w:val="0"/>
                <w:numId w:val="18"/>
              </w:numPr>
              <w:rPr>
                <w:rFonts w:ascii="Calibri" w:hAnsi="Calibri" w:cs="Calibri"/>
                <w:color w:val="000000"/>
                <w:shd w:val="clear" w:color="auto" w:fill="FFFFFF"/>
              </w:rPr>
            </w:pPr>
            <w:r w:rsidRPr="009E49AE">
              <w:rPr>
                <w:rFonts w:ascii="Calibri" w:hAnsi="Calibri" w:cs="Calibri"/>
                <w:color w:val="000000"/>
                <w:shd w:val="clear" w:color="auto" w:fill="FFFFFF"/>
              </w:rPr>
              <w:t>Contracting authorities may require a specific label in the technical specifications, the award criteria or the contract terms as proof that the works, services or supplies meet the required specifications</w:t>
            </w:r>
            <w:r w:rsidR="00C6611F">
              <w:rPr>
                <w:rFonts w:ascii="Calibri" w:hAnsi="Calibri" w:cs="Calibri"/>
                <w:color w:val="000000"/>
                <w:shd w:val="clear" w:color="auto" w:fill="FFFFFF"/>
              </w:rPr>
              <w:t xml:space="preserve"> (Paragraph 75)</w:t>
            </w:r>
            <w:r w:rsidRPr="009E49AE">
              <w:rPr>
                <w:rFonts w:ascii="Calibri" w:hAnsi="Calibri" w:cs="Calibri"/>
                <w:color w:val="000000"/>
                <w:shd w:val="clear" w:color="auto" w:fill="FFFFFF"/>
              </w:rPr>
              <w:t>. This is possible under specific conditions, such as that the label requirements are related to the subject matter of the contract, are based on objectively verifiable and non-discriminatory criteria, and are established in an open and transparent procedure by a third party</w:t>
            </w:r>
            <w:r w:rsidR="00E722BF">
              <w:rPr>
                <w:rFonts w:ascii="Calibri" w:hAnsi="Calibri" w:cs="Calibri"/>
                <w:color w:val="000000"/>
                <w:shd w:val="clear" w:color="auto" w:fill="FFFFFF"/>
              </w:rPr>
              <w:t xml:space="preserve"> (Article 43(1)).</w:t>
            </w:r>
          </w:p>
          <w:p w14:paraId="1122034C" w14:textId="5BDC163C" w:rsidR="00BA556E" w:rsidRPr="009E49AE" w:rsidRDefault="00BA556E" w:rsidP="00A40C29">
            <w:pPr>
              <w:pStyle w:val="ListParagraph"/>
              <w:numPr>
                <w:ilvl w:val="0"/>
                <w:numId w:val="18"/>
              </w:numPr>
              <w:rPr>
                <w:rFonts w:ascii="Calibri" w:hAnsi="Calibri" w:cs="Calibri"/>
                <w:color w:val="000000"/>
                <w:shd w:val="clear" w:color="auto" w:fill="FFFFFF"/>
              </w:rPr>
            </w:pPr>
            <w:r w:rsidRPr="009E49AE">
              <w:rPr>
                <w:rFonts w:ascii="Calibri" w:hAnsi="Calibri" w:cs="Calibri"/>
                <w:color w:val="000000"/>
                <w:shd w:val="clear" w:color="auto" w:fill="FFFFFF"/>
              </w:rPr>
              <w:t>Contracting authorities must accept equivalent quality labels and, if an economic operator can demonstrate that it has no access to the required quality label, accept other appropriate means of proof (such as a technical file from the manufacturer), provided that the requirements are demonstrated</w:t>
            </w:r>
            <w:r w:rsidR="0004551F">
              <w:rPr>
                <w:rFonts w:ascii="Calibri" w:hAnsi="Calibri" w:cs="Calibri"/>
                <w:color w:val="000000"/>
                <w:shd w:val="clear" w:color="auto" w:fill="FFFFFF"/>
              </w:rPr>
              <w:t xml:space="preserve"> (Article 43).</w:t>
            </w:r>
          </w:p>
          <w:p w14:paraId="6121927A" w14:textId="6F39F7B2" w:rsidR="00483D65" w:rsidRPr="00A667B9" w:rsidRDefault="00BA556E" w:rsidP="00A40C29">
            <w:pPr>
              <w:pStyle w:val="ListParagraph"/>
              <w:numPr>
                <w:ilvl w:val="0"/>
                <w:numId w:val="18"/>
              </w:numPr>
              <w:rPr>
                <w:rStyle w:val="normaltextrun"/>
                <w:rFonts w:ascii="Calibri" w:hAnsi="Calibri" w:cs="Calibri"/>
                <w:color w:val="000000"/>
                <w:shd w:val="clear" w:color="auto" w:fill="FFFFFF"/>
              </w:rPr>
            </w:pPr>
            <w:r w:rsidRPr="009E49AE">
              <w:rPr>
                <w:rFonts w:ascii="Calibri" w:hAnsi="Calibri" w:cs="Calibri"/>
                <w:color w:val="000000"/>
                <w:shd w:val="clear" w:color="auto" w:fill="FFFFFF"/>
              </w:rPr>
              <w:t>Contracting authorities may also require a test report or certificate from a conformity assessment body as proof of compliance with the requirements or criteria</w:t>
            </w:r>
            <w:r w:rsidR="0004551F">
              <w:rPr>
                <w:rFonts w:ascii="Calibri" w:hAnsi="Calibri" w:cs="Calibri"/>
                <w:color w:val="000000"/>
                <w:shd w:val="clear" w:color="auto" w:fill="FFFFFF"/>
              </w:rPr>
              <w:t xml:space="preserve"> (Article 44(1)).</w:t>
            </w: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w:t>
            </w:r>
            <w:r w:rsidRPr="0074258C">
              <w:rPr>
                <w:rStyle w:val="normaltextrun"/>
                <w:rFonts w:cstheme="minorHAnsi"/>
                <w:color w:val="000000"/>
                <w:lang w:val="en-US"/>
              </w:rPr>
              <w:lastRenderedPageBreak/>
              <w:t xml:space="preserve">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lastRenderedPageBreak/>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3BAAB523" w:rsidR="009A5C4E" w:rsidRPr="0074258C" w:rsidRDefault="00760C18"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7A9A60F0" w14:textId="6D2ADF05" w:rsidR="001E6C3F" w:rsidRPr="001E6C3F" w:rsidRDefault="001E6C3F" w:rsidP="001E6C3F">
            <w:pPr>
              <w:rPr>
                <w:rFonts w:cstheme="minorHAnsi"/>
                <w:color w:val="000000"/>
                <w:shd w:val="clear" w:color="auto" w:fill="FFFFFF"/>
              </w:rPr>
            </w:pPr>
            <w:r w:rsidRPr="001E6C3F">
              <w:rPr>
                <w:rFonts w:cstheme="minorHAnsi"/>
                <w:b/>
                <w:bCs/>
                <w:color w:val="000000"/>
                <w:shd w:val="clear" w:color="auto" w:fill="FFFFFF"/>
              </w:rPr>
              <w:t>Conditions</w:t>
            </w:r>
          </w:p>
          <w:p w14:paraId="0F85E27C" w14:textId="0B84FBD7" w:rsidR="001E6C3F" w:rsidRPr="001E6C3F" w:rsidRDefault="001E6C3F" w:rsidP="00A40C29">
            <w:pPr>
              <w:pStyle w:val="ListParagraph"/>
              <w:numPr>
                <w:ilvl w:val="0"/>
                <w:numId w:val="21"/>
              </w:numPr>
              <w:rPr>
                <w:rFonts w:cstheme="minorHAnsi"/>
                <w:color w:val="000000"/>
                <w:shd w:val="clear" w:color="auto" w:fill="FFFFFF"/>
              </w:rPr>
            </w:pPr>
            <w:r w:rsidRPr="001E6C3F">
              <w:rPr>
                <w:rFonts w:cstheme="minorHAnsi"/>
                <w:color w:val="000000"/>
                <w:shd w:val="clear" w:color="auto" w:fill="FFFFFF"/>
              </w:rPr>
              <w:t>The Directive explicitly states that contracting authorities may attach special conditions to the performance of a contract, provided that these are related to the subject matter of the contract and are stated in advance in the call for competition or in the tender documents</w:t>
            </w:r>
            <w:r w:rsidR="00B356B7">
              <w:rPr>
                <w:rFonts w:cstheme="minorHAnsi"/>
                <w:color w:val="000000"/>
                <w:shd w:val="clear" w:color="auto" w:fill="FFFFFF"/>
              </w:rPr>
              <w:t xml:space="preserve"> (Article 70).</w:t>
            </w:r>
          </w:p>
          <w:p w14:paraId="1E4E55F0" w14:textId="5A6BE86A" w:rsidR="001E6C3F" w:rsidRPr="001E6C3F" w:rsidRDefault="001E6C3F" w:rsidP="00A40C29">
            <w:pPr>
              <w:pStyle w:val="ListParagraph"/>
              <w:numPr>
                <w:ilvl w:val="0"/>
                <w:numId w:val="21"/>
              </w:numPr>
              <w:rPr>
                <w:rFonts w:cstheme="minorHAnsi"/>
                <w:color w:val="000000"/>
                <w:shd w:val="clear" w:color="auto" w:fill="FFFFFF"/>
              </w:rPr>
            </w:pPr>
            <w:r w:rsidRPr="001E6C3F">
              <w:rPr>
                <w:rFonts w:cstheme="minorHAnsi"/>
                <w:color w:val="000000"/>
                <w:shd w:val="clear" w:color="auto" w:fill="FFFFFF"/>
              </w:rPr>
              <w:t>These conditions may cover a wide range of considerations, including economic, innovative, environmental, social or labour-related aspects. This means that contract provisions can be specifically designed to ensure compliance in these areas during performance</w:t>
            </w:r>
            <w:r w:rsidR="00B356B7">
              <w:rPr>
                <w:rFonts w:cstheme="minorHAnsi"/>
                <w:color w:val="000000"/>
                <w:shd w:val="clear" w:color="auto" w:fill="FFFFFF"/>
              </w:rPr>
              <w:t xml:space="preserve"> (Article 70).</w:t>
            </w:r>
          </w:p>
          <w:p w14:paraId="3E439614" w14:textId="62F86880" w:rsidR="001E6C3F" w:rsidRPr="001E6C3F" w:rsidRDefault="001E6C3F" w:rsidP="00A40C29">
            <w:pPr>
              <w:pStyle w:val="ListParagraph"/>
              <w:numPr>
                <w:ilvl w:val="0"/>
                <w:numId w:val="21"/>
              </w:numPr>
              <w:rPr>
                <w:rFonts w:cstheme="minorHAnsi"/>
                <w:color w:val="000000"/>
                <w:shd w:val="clear" w:color="auto" w:fill="FFFFFF"/>
              </w:rPr>
            </w:pPr>
            <w:r w:rsidRPr="001E6C3F">
              <w:rPr>
                <w:rFonts w:cstheme="minorHAnsi"/>
                <w:color w:val="000000"/>
                <w:shd w:val="clear" w:color="auto" w:fill="FFFFFF"/>
              </w:rPr>
              <w:t>The applicable obligations in the field of environmental, social and labour law, resulting from Union law, national law, collective agreements or international agreements (such as those listed in Annex X), may be reflected in contract terms. Member States shall take appropriate measures to ensure that economic operators comply with these obligations during the performance of public contracts</w:t>
            </w:r>
            <w:r w:rsidR="009535EE">
              <w:rPr>
                <w:rFonts w:cstheme="minorHAnsi"/>
                <w:color w:val="000000"/>
                <w:shd w:val="clear" w:color="auto" w:fill="FFFFFF"/>
              </w:rPr>
              <w:t xml:space="preserve"> (Article 18(2)).</w:t>
            </w:r>
          </w:p>
          <w:p w14:paraId="41E15874" w14:textId="41424B30" w:rsidR="001E6C3F" w:rsidRPr="001E6C3F" w:rsidRDefault="001E6C3F" w:rsidP="00A40C29">
            <w:pPr>
              <w:pStyle w:val="ListParagraph"/>
              <w:numPr>
                <w:ilvl w:val="0"/>
                <w:numId w:val="21"/>
              </w:numPr>
              <w:rPr>
                <w:rFonts w:cstheme="minorHAnsi"/>
                <w:color w:val="000000"/>
                <w:shd w:val="clear" w:color="auto" w:fill="FFFFFF"/>
              </w:rPr>
            </w:pPr>
            <w:r w:rsidRPr="001E6C3F">
              <w:rPr>
                <w:rFonts w:cstheme="minorHAnsi"/>
                <w:color w:val="000000"/>
                <w:shd w:val="clear" w:color="auto" w:fill="FFFFFF"/>
              </w:rPr>
              <w:t>Contract terms relating to environmental considerations may include the supply, packaging and disposal of products and, in the case of works and services, waste reduction or efficient use of resources</w:t>
            </w:r>
            <w:r w:rsidR="003544F2">
              <w:rPr>
                <w:rFonts w:cstheme="minorHAnsi"/>
                <w:color w:val="000000"/>
                <w:shd w:val="clear" w:color="auto" w:fill="FFFFFF"/>
              </w:rPr>
              <w:t xml:space="preserve"> (Paragraph 97).</w:t>
            </w:r>
          </w:p>
          <w:p w14:paraId="6D4C1DA7" w14:textId="178F30EB" w:rsidR="009A5C4E" w:rsidRPr="001E6C3F" w:rsidRDefault="001E6C3F" w:rsidP="00A40C29">
            <w:pPr>
              <w:pStyle w:val="ListParagraph"/>
              <w:numPr>
                <w:ilvl w:val="0"/>
                <w:numId w:val="21"/>
              </w:numPr>
              <w:rPr>
                <w:rStyle w:val="normaltextrun"/>
                <w:rFonts w:cstheme="minorHAnsi"/>
                <w:color w:val="000000"/>
                <w:shd w:val="clear" w:color="auto" w:fill="FFFFFF"/>
              </w:rPr>
            </w:pPr>
            <w:r w:rsidRPr="001E6C3F">
              <w:rPr>
                <w:rFonts w:cstheme="minorHAnsi"/>
                <w:color w:val="000000"/>
                <w:shd w:val="clear" w:color="auto" w:fill="FFFFFF"/>
              </w:rPr>
              <w:t>Social aspects in contract terms may relate to measures to promote gender equality, higher employment rates for women, the reconciliation of work and private life, animal welfare, compliance with ILO core conventions, and the recruitment of disadvantaged persons, including the long-term unemployed and young people, as well as the implementation of training measures</w:t>
            </w:r>
            <w:r w:rsidR="00072C05">
              <w:rPr>
                <w:rFonts w:cstheme="minorHAnsi"/>
                <w:color w:val="000000"/>
                <w:shd w:val="clear" w:color="auto" w:fill="FFFFFF"/>
              </w:rPr>
              <w:t xml:space="preserve"> (Paragraph 99).</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886D905" w:rsidR="009A5C4E" w:rsidRPr="0074258C" w:rsidRDefault="001F4DE5"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78408102"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7E1CFD7A" w14:textId="6105B2A9" w:rsidR="00217B4F" w:rsidRPr="00A71B05" w:rsidRDefault="00217B4F" w:rsidP="00217B4F">
            <w:pPr>
              <w:pStyle w:val="ListParagraph"/>
              <w:numPr>
                <w:ilvl w:val="0"/>
                <w:numId w:val="23"/>
              </w:numPr>
              <w:rPr>
                <w:rFonts w:cstheme="minorHAnsi"/>
                <w:color w:val="000000"/>
                <w:shd w:val="clear" w:color="auto" w:fill="FFFFFF"/>
              </w:rPr>
            </w:pPr>
            <w:r w:rsidRPr="00A71B05">
              <w:rPr>
                <w:rFonts w:cstheme="minorHAnsi"/>
                <w:color w:val="000000"/>
                <w:shd w:val="clear" w:color="auto" w:fill="FFFFFF"/>
              </w:rPr>
              <w:t>Member States must ‘take appropriate measures to ensure that economic operators comply with applicable environmental, social and labour law obligations when performing public contracts’</w:t>
            </w:r>
            <w:r w:rsidR="004C4CDF" w:rsidRPr="00A71B05">
              <w:rPr>
                <w:rFonts w:cstheme="minorHAnsi"/>
                <w:color w:val="000000"/>
                <w:shd w:val="clear" w:color="auto" w:fill="FFFFFF"/>
              </w:rPr>
              <w:t xml:space="preserve"> </w:t>
            </w:r>
            <w:r w:rsidR="0095490C" w:rsidRPr="00A71B05">
              <w:rPr>
                <w:rFonts w:cstheme="minorHAnsi"/>
                <w:color w:val="000000"/>
                <w:shd w:val="clear" w:color="auto" w:fill="FFFFFF"/>
              </w:rPr>
              <w:t>(Article 18(2)).</w:t>
            </w:r>
          </w:p>
          <w:p w14:paraId="39352E74" w14:textId="4E5EE828" w:rsidR="00217B4F" w:rsidRPr="00A71B05" w:rsidRDefault="00217B4F" w:rsidP="00217B4F">
            <w:pPr>
              <w:pStyle w:val="ListParagraph"/>
              <w:numPr>
                <w:ilvl w:val="0"/>
                <w:numId w:val="23"/>
              </w:numPr>
              <w:rPr>
                <w:rFonts w:cstheme="minorHAnsi"/>
                <w:color w:val="000000"/>
                <w:shd w:val="clear" w:color="auto" w:fill="FFFFFF"/>
              </w:rPr>
            </w:pPr>
            <w:r w:rsidRPr="00A71B05">
              <w:rPr>
                <w:rFonts w:cstheme="minorHAnsi"/>
                <w:color w:val="000000"/>
                <w:shd w:val="clear" w:color="auto" w:fill="FFFFFF"/>
              </w:rPr>
              <w:t>Member States must ensure that ‘the application of public procurement rules is monitored’</w:t>
            </w:r>
            <w:r w:rsidR="00CA2F15" w:rsidRPr="00A71B05">
              <w:rPr>
                <w:rFonts w:cstheme="minorHAnsi"/>
                <w:color w:val="000000"/>
                <w:shd w:val="clear" w:color="auto" w:fill="FFFFFF"/>
              </w:rPr>
              <w:t xml:space="preserve"> (Article 83(2)).</w:t>
            </w:r>
          </w:p>
          <w:p w14:paraId="350926DD" w14:textId="3A4D5C6C" w:rsidR="009A5C4E" w:rsidRPr="00217B4F" w:rsidRDefault="00217B4F" w:rsidP="00217B4F">
            <w:pPr>
              <w:pStyle w:val="ListParagraph"/>
              <w:numPr>
                <w:ilvl w:val="0"/>
                <w:numId w:val="23"/>
              </w:numPr>
              <w:rPr>
                <w:rStyle w:val="normaltextrun"/>
                <w:rFonts w:ascii="Mulish" w:hAnsi="Mulish"/>
                <w:color w:val="000000"/>
                <w:sz w:val="22"/>
                <w:szCs w:val="22"/>
                <w:shd w:val="clear" w:color="auto" w:fill="FFFFFF"/>
              </w:rPr>
            </w:pPr>
            <w:r w:rsidRPr="00A71B05">
              <w:rPr>
                <w:rFonts w:cstheme="minorHAnsi"/>
                <w:color w:val="000000"/>
                <w:shd w:val="clear" w:color="auto" w:fill="FFFFFF"/>
              </w:rPr>
              <w:t>Member States shall submit a monitoring report to the Commission by 18 April 2017 and every three years thereafter. This report shall include information on the application of the rules, including any structural or recurring problems</w:t>
            </w:r>
            <w:r w:rsidR="00E07C8F" w:rsidRPr="00A71B05">
              <w:rPr>
                <w:rFonts w:cstheme="minorHAnsi"/>
                <w:color w:val="000000"/>
                <w:shd w:val="clear" w:color="auto" w:fill="FFFFFF"/>
              </w:rPr>
              <w:t xml:space="preserve"> (Article 83(3)).</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493DCE9A" w:rsidR="007802C6" w:rsidRPr="00CF2E7C" w:rsidRDefault="001217BE"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478502C" w:rsidR="007802C6" w:rsidRPr="00CF2E7C" w:rsidRDefault="007D6613"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6A892FB" w:rsidR="007802C6" w:rsidRPr="00CF2E7C" w:rsidRDefault="007D661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C1B8FB6" w:rsidR="007802C6" w:rsidRPr="00CF2E7C" w:rsidRDefault="007D661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864FB80" w:rsidR="007802C6" w:rsidRPr="00CF2E7C" w:rsidRDefault="007D661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5115B29" w:rsidR="007802C6" w:rsidRPr="00CF2E7C" w:rsidRDefault="007D661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5E2D877" w:rsidR="007802C6" w:rsidRPr="00CF2E7C" w:rsidRDefault="007D661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A96F2EB" w:rsidR="007802C6" w:rsidRPr="00CF2E7C" w:rsidRDefault="007D661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BF20939" w:rsidR="007802C6" w:rsidRPr="00CF2E7C" w:rsidRDefault="007D661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F58A01B" w:rsidR="007802C6" w:rsidRPr="00CF2E7C" w:rsidRDefault="007D661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60301D4" w:rsidR="007802C6" w:rsidRPr="00CF2E7C" w:rsidRDefault="007D6613"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C69E993" w:rsidR="007802C6" w:rsidRPr="00CF2E7C" w:rsidRDefault="007D661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2A4C347" w:rsidR="007802C6" w:rsidRPr="00CF2E7C" w:rsidRDefault="000627F5"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25E444F9" w:rsidR="007802C6" w:rsidRPr="00CF2E7C" w:rsidRDefault="000627F5" w:rsidP="00CF2E7C">
            <w:pPr>
              <w:rPr>
                <w:rFonts w:ascii="Calibri" w:hAnsi="Calibri" w:cs="Calibri"/>
              </w:rPr>
            </w:pPr>
            <w:r>
              <w:rPr>
                <w:rFonts w:ascii="Calibri" w:hAnsi="Calibri" w:cs="Calibri"/>
              </w:rPr>
              <w:t>X</w:t>
            </w: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136D78E" w:rsidR="007802C6" w:rsidRPr="00CF2E7C" w:rsidRDefault="000627F5"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FF826EB" w:rsidR="007802C6" w:rsidRPr="00CF2E7C" w:rsidRDefault="000627F5"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DF9F863" w:rsidR="007802C6" w:rsidRPr="00CF2E7C" w:rsidRDefault="000627F5"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9BAC0EA" w:rsidR="007802C6" w:rsidRPr="00CF2E7C" w:rsidRDefault="000627F5"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C878768" w:rsidR="007802C6" w:rsidRPr="00CF2E7C" w:rsidRDefault="000627F5"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66275AC" w:rsidR="007802C6" w:rsidRPr="00CF2E7C" w:rsidRDefault="000627F5"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C15E53D" w:rsidR="007802C6" w:rsidRPr="00CF2E7C" w:rsidRDefault="00FF3921" w:rsidP="00CF2E7C">
            <w:pPr>
              <w:rPr>
                <w:rFonts w:ascii="Calibri" w:hAnsi="Calibri" w:cs="Calibri"/>
              </w:rPr>
            </w:pPr>
            <w:r>
              <w:rPr>
                <w:rFonts w:ascii="Calibri" w:hAnsi="Calibri" w:cs="Calibri"/>
              </w:rPr>
              <w:t>X</w:t>
            </w:r>
          </w:p>
        </w:tc>
        <w:tc>
          <w:tcPr>
            <w:tcW w:w="1716" w:type="dxa"/>
            <w:vAlign w:val="center"/>
          </w:tcPr>
          <w:p w14:paraId="3BE47035" w14:textId="6CCFD471"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2CB72E6E"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318CC88E" w:rsidR="00FB246B" w:rsidRPr="00CF2E7C" w:rsidRDefault="00FB246B"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00F6B606" w14:textId="77777777" w:rsidR="00FB246B" w:rsidRPr="00FB246B" w:rsidRDefault="00FB246B" w:rsidP="00FB246B">
            <w:pPr>
              <w:rPr>
                <w:rStyle w:val="eop"/>
                <w:rFonts w:ascii="Calibri" w:hAnsi="Calibri" w:cs="Calibri"/>
                <w:b/>
                <w:bCs/>
              </w:rPr>
            </w:pPr>
            <w:r w:rsidRPr="00FB246B">
              <w:rPr>
                <w:rStyle w:val="normaltextrun"/>
                <w:rFonts w:ascii="Calibri" w:hAnsi="Calibri" w:cs="Calibri"/>
                <w:b/>
                <w:bCs/>
                <w:lang w:val="en-US"/>
              </w:rPr>
              <w:t>14. UNEP Sustainable Public Procurement Implementation Guidelines </w:t>
            </w:r>
            <w:r w:rsidRPr="00FB246B">
              <w:rPr>
                <w:rStyle w:val="eop"/>
                <w:rFonts w:ascii="Calibri" w:hAnsi="Calibri" w:cs="Calibri"/>
                <w:b/>
                <w:bCs/>
              </w:rPr>
              <w:t> </w:t>
            </w:r>
          </w:p>
          <w:p w14:paraId="25D68313" w14:textId="45011184" w:rsidR="00FB246B" w:rsidRDefault="00BE4453" w:rsidP="00FB246B">
            <w:pPr>
              <w:rPr>
                <w:rStyle w:val="eop"/>
              </w:rPr>
            </w:pPr>
            <w:r w:rsidRPr="00BE4453">
              <w:t>The directive refers specifically to the UNEP (United Nations Environment Programme) and the ‘Guidelines for Social Life Cycle Assessment of Products’ adopted in that context. This is done in the context of considering common methods for social life cycle costs</w:t>
            </w:r>
            <w:r w:rsidR="007E674E">
              <w:t xml:space="preserve"> (</w:t>
            </w:r>
            <w:r w:rsidR="00C000DA">
              <w:t>Recital</w:t>
            </w:r>
            <w:r w:rsidR="007E674E">
              <w:t xml:space="preserve"> 96).</w:t>
            </w:r>
          </w:p>
          <w:p w14:paraId="316F3626" w14:textId="77777777" w:rsidR="00FB246B" w:rsidRPr="00FB246B" w:rsidRDefault="00FB246B" w:rsidP="00FB246B">
            <w:pPr>
              <w:rPr>
                <w:rFonts w:ascii="Calibri" w:hAnsi="Calibri" w:cs="Calibri"/>
                <w:b/>
                <w:bCs/>
              </w:rPr>
            </w:pPr>
            <w:r w:rsidRPr="00FB246B">
              <w:rPr>
                <w:rFonts w:ascii="Calibri" w:hAnsi="Calibri" w:cs="Calibri"/>
                <w:b/>
                <w:bCs/>
              </w:rPr>
              <w:t>21. Other ISO standards</w:t>
            </w:r>
          </w:p>
          <w:p w14:paraId="35B3C55B" w14:textId="77777777" w:rsidR="0073060E" w:rsidRPr="0073060E" w:rsidRDefault="0073060E" w:rsidP="0073060E">
            <w:pPr>
              <w:rPr>
                <w:rFonts w:ascii="Calibri" w:hAnsi="Calibri" w:cs="Calibri"/>
              </w:rPr>
            </w:pPr>
            <w:r w:rsidRPr="0073060E">
              <w:rPr>
                <w:rFonts w:ascii="Calibri" w:hAnsi="Calibri" w:cs="Calibri"/>
              </w:rPr>
              <w:lastRenderedPageBreak/>
              <w:t>The Directive indirectly refers to the use of other ISO-related standards, particularly in the field of quality and environmental management:</w:t>
            </w:r>
          </w:p>
          <w:p w14:paraId="4CA6F253" w14:textId="6E4D503D" w:rsidR="0073060E" w:rsidRPr="0073060E" w:rsidRDefault="0073060E" w:rsidP="00A40C29">
            <w:pPr>
              <w:pStyle w:val="ListParagraph"/>
              <w:numPr>
                <w:ilvl w:val="0"/>
                <w:numId w:val="22"/>
              </w:numPr>
              <w:rPr>
                <w:rFonts w:ascii="Calibri" w:hAnsi="Calibri" w:cs="Calibri"/>
              </w:rPr>
            </w:pPr>
            <w:r w:rsidRPr="0073060E">
              <w:rPr>
                <w:rFonts w:ascii="Calibri" w:hAnsi="Calibri" w:cs="Calibri"/>
              </w:rPr>
              <w:t>Quality standards: Contracting authorities may require economic operators to meet ‘certain quality standards, including standards relating to accessibility for persons with disabilities’, referring to ‘quality assurance systems based on the relevant European standards certified by accredited bodies in accordance with the European standards’. This implies the use of standards such as the ISO 9000 series, although the specific ISO numbering is not mentioned</w:t>
            </w:r>
            <w:r w:rsidR="00636834">
              <w:rPr>
                <w:rFonts w:ascii="Calibri" w:hAnsi="Calibri" w:cs="Calibri"/>
              </w:rPr>
              <w:t xml:space="preserve"> (Article 62(1)).</w:t>
            </w:r>
          </w:p>
          <w:p w14:paraId="3BAB31D2" w14:textId="53CEF6E4" w:rsidR="0073060E" w:rsidRPr="00636834" w:rsidRDefault="0073060E" w:rsidP="00A40C29">
            <w:pPr>
              <w:pStyle w:val="ListParagraph"/>
              <w:numPr>
                <w:ilvl w:val="0"/>
                <w:numId w:val="22"/>
              </w:numPr>
              <w:rPr>
                <w:rFonts w:ascii="Calibri" w:hAnsi="Calibri" w:cs="Calibri"/>
              </w:rPr>
            </w:pPr>
            <w:r w:rsidRPr="0073060E">
              <w:rPr>
                <w:rFonts w:ascii="Calibri" w:hAnsi="Calibri" w:cs="Calibri"/>
              </w:rPr>
              <w:t xml:space="preserve">Environmental management systems: Reference is made to the EMAS system (EU environmental management and audit system) or "any other environmental management system recognised in accordance with Article 45 of Regulation (EC) No 1221/2009 or other environmental management standards based on the applicable European or international standards certified by accredited bodies". </w:t>
            </w:r>
            <w:r w:rsidRPr="00636834">
              <w:rPr>
                <w:rFonts w:ascii="Calibri" w:hAnsi="Calibri" w:cs="Calibri"/>
              </w:rPr>
              <w:t>This implicitly includes the ISO 14001 series for environmental management systems</w:t>
            </w:r>
            <w:r w:rsidR="002D066B">
              <w:rPr>
                <w:rFonts w:ascii="Calibri" w:hAnsi="Calibri" w:cs="Calibri"/>
              </w:rPr>
              <w:t xml:space="preserve"> (Article 62(2)).</w:t>
            </w:r>
          </w:p>
          <w:p w14:paraId="53AE8A0F" w14:textId="6E281343" w:rsidR="007802C6" w:rsidRPr="002D066B" w:rsidRDefault="0073060E" w:rsidP="00A40C29">
            <w:pPr>
              <w:pStyle w:val="ListParagraph"/>
              <w:numPr>
                <w:ilvl w:val="0"/>
                <w:numId w:val="22"/>
              </w:numPr>
              <w:rPr>
                <w:rFonts w:ascii="Calibri" w:hAnsi="Calibri" w:cs="Calibri"/>
              </w:rPr>
            </w:pPr>
            <w:r w:rsidRPr="00636834">
              <w:rPr>
                <w:rFonts w:ascii="Calibri" w:hAnsi="Calibri" w:cs="Calibri"/>
              </w:rPr>
              <w:t xml:space="preserve">Technical specifications: The Directive allows technical specifications to be drawn up by reference to ‘national standards transposing European standards, European technical assessments, common technical specifications, international standards, other technical reference systems established by European standardisation bodies or, in the absence of such, national standards’. </w:t>
            </w:r>
            <w:r w:rsidRPr="002D066B">
              <w:rPr>
                <w:rFonts w:ascii="Calibri" w:hAnsi="Calibri" w:cs="Calibri"/>
              </w:rPr>
              <w:t>ISO standards fall under the category of international standards</w:t>
            </w:r>
            <w:r w:rsidR="00A40C29">
              <w:rPr>
                <w:rFonts w:ascii="Calibri" w:hAnsi="Calibri" w:cs="Calibri"/>
              </w:rPr>
              <w:t xml:space="preserve"> (Article 42(3)(b)). </w:t>
            </w:r>
          </w:p>
        </w:tc>
      </w:tr>
    </w:tbl>
    <w:p w14:paraId="422E378B" w14:textId="491B3973" w:rsidR="466E435B" w:rsidRDefault="466E435B">
      <w:r>
        <w:lastRenderedPageBreak/>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58010C"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C44B9" w14:textId="77777777" w:rsidR="00E2532D" w:rsidRDefault="00E2532D" w:rsidP="00874E39">
      <w:r>
        <w:separator/>
      </w:r>
    </w:p>
  </w:endnote>
  <w:endnote w:type="continuationSeparator" w:id="0">
    <w:p w14:paraId="0B58D7E8" w14:textId="77777777" w:rsidR="00E2532D" w:rsidRDefault="00E2532D" w:rsidP="00874E39">
      <w:r>
        <w:continuationSeparator/>
      </w:r>
    </w:p>
  </w:endnote>
  <w:endnote w:type="continuationNotice" w:id="1">
    <w:p w14:paraId="7184F784" w14:textId="77777777" w:rsidR="00E2532D" w:rsidRDefault="00E253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E2C37E" w14:textId="77777777" w:rsidR="00E2532D" w:rsidRDefault="00E2532D" w:rsidP="00874E39">
      <w:r>
        <w:separator/>
      </w:r>
    </w:p>
  </w:footnote>
  <w:footnote w:type="continuationSeparator" w:id="0">
    <w:p w14:paraId="2BF37140" w14:textId="77777777" w:rsidR="00E2532D" w:rsidRDefault="00E2532D" w:rsidP="00874E39">
      <w:r>
        <w:continuationSeparator/>
      </w:r>
    </w:p>
  </w:footnote>
  <w:footnote w:type="continuationNotice" w:id="1">
    <w:p w14:paraId="4F9A0C0A" w14:textId="77777777" w:rsidR="00E2532D" w:rsidRDefault="00E253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F5A78"/>
    <w:multiLevelType w:val="multilevel"/>
    <w:tmpl w:val="FDA4320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A811CB"/>
    <w:multiLevelType w:val="hybridMultilevel"/>
    <w:tmpl w:val="E558FD12"/>
    <w:lvl w:ilvl="0" w:tplc="275A228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C676F64"/>
    <w:multiLevelType w:val="hybridMultilevel"/>
    <w:tmpl w:val="15DA8D7C"/>
    <w:lvl w:ilvl="0" w:tplc="8D486928">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1758D9"/>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E9445C4"/>
    <w:multiLevelType w:val="hybridMultilevel"/>
    <w:tmpl w:val="761A544E"/>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2CD3E36"/>
    <w:multiLevelType w:val="hybridMultilevel"/>
    <w:tmpl w:val="D92ACF30"/>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CA45C8D"/>
    <w:multiLevelType w:val="hybridMultilevel"/>
    <w:tmpl w:val="39AE51F4"/>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24A752E"/>
    <w:multiLevelType w:val="hybridMultilevel"/>
    <w:tmpl w:val="C298FDE4"/>
    <w:lvl w:ilvl="0" w:tplc="FC0E4CFC">
      <w:start w:val="57"/>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72D6604"/>
    <w:multiLevelType w:val="hybridMultilevel"/>
    <w:tmpl w:val="B86471A4"/>
    <w:lvl w:ilvl="0" w:tplc="04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80851EE"/>
    <w:multiLevelType w:val="hybridMultilevel"/>
    <w:tmpl w:val="393650BC"/>
    <w:lvl w:ilvl="0" w:tplc="04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9455D8D"/>
    <w:multiLevelType w:val="hybridMultilevel"/>
    <w:tmpl w:val="0868F58E"/>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5384558"/>
    <w:multiLevelType w:val="hybridMultilevel"/>
    <w:tmpl w:val="B058C834"/>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3" w15:restartNumberingAfterBreak="0">
    <w:nsid w:val="47683443"/>
    <w:multiLevelType w:val="hybridMultilevel"/>
    <w:tmpl w:val="4AA05F30"/>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DF57F0C"/>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F152BA3"/>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0C43EF9"/>
    <w:multiLevelType w:val="hybridMultilevel"/>
    <w:tmpl w:val="8C3EA170"/>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1893799"/>
    <w:multiLevelType w:val="hybridMultilevel"/>
    <w:tmpl w:val="4D88EE3C"/>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40A3FA6"/>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5881507"/>
    <w:multiLevelType w:val="hybridMultilevel"/>
    <w:tmpl w:val="B540CB1E"/>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7AA562F"/>
    <w:multiLevelType w:val="hybridMultilevel"/>
    <w:tmpl w:val="0A329F3E"/>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C5C01BE"/>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4554DF0"/>
    <w:multiLevelType w:val="hybridMultilevel"/>
    <w:tmpl w:val="7A163C2E"/>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665F14FE"/>
    <w:multiLevelType w:val="hybridMultilevel"/>
    <w:tmpl w:val="220684A2"/>
    <w:lvl w:ilvl="0" w:tplc="8D486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6FA5881"/>
    <w:multiLevelType w:val="hybridMultilevel"/>
    <w:tmpl w:val="4AAE6D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9897B39"/>
    <w:multiLevelType w:val="multilevel"/>
    <w:tmpl w:val="FC46B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7256BA"/>
    <w:multiLevelType w:val="multilevel"/>
    <w:tmpl w:val="ACDA9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F421105"/>
    <w:multiLevelType w:val="hybridMultilevel"/>
    <w:tmpl w:val="676054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7542331"/>
    <w:multiLevelType w:val="multilevel"/>
    <w:tmpl w:val="971EF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7D27FAE"/>
    <w:multiLevelType w:val="multilevel"/>
    <w:tmpl w:val="7924B632"/>
    <w:lvl w:ilvl="0">
      <w:start w:val="1"/>
      <w:numFmt w:val="decimal"/>
      <w:lvlText w:val="%1."/>
      <w:lvlJc w:val="left"/>
      <w:pPr>
        <w:tabs>
          <w:tab w:val="num" w:pos="720"/>
        </w:tabs>
        <w:ind w:left="720" w:hanging="360"/>
      </w:pPr>
    </w:lvl>
    <w:lvl w:ilvl="1">
      <w:numFmt w:val="bullet"/>
      <w:lvlText w:val="•"/>
      <w:lvlJc w:val="left"/>
      <w:pPr>
        <w:ind w:left="1440" w:hanging="360"/>
      </w:pPr>
      <w:rPr>
        <w:rFonts w:ascii="Calibri" w:eastAsiaTheme="minorHAnsi"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42588554">
    <w:abstractNumId w:val="12"/>
  </w:num>
  <w:num w:numId="2" w16cid:durableId="318391343">
    <w:abstractNumId w:val="17"/>
  </w:num>
  <w:num w:numId="3" w16cid:durableId="376665308">
    <w:abstractNumId w:val="0"/>
  </w:num>
  <w:num w:numId="4" w16cid:durableId="606278062">
    <w:abstractNumId w:val="26"/>
  </w:num>
  <w:num w:numId="5" w16cid:durableId="1919172908">
    <w:abstractNumId w:val="29"/>
  </w:num>
  <w:num w:numId="6" w16cid:durableId="1983852987">
    <w:abstractNumId w:val="27"/>
  </w:num>
  <w:num w:numId="7" w16cid:durableId="848256185">
    <w:abstractNumId w:val="28"/>
  </w:num>
  <w:num w:numId="8" w16cid:durableId="831875258">
    <w:abstractNumId w:val="25"/>
  </w:num>
  <w:num w:numId="9" w16cid:durableId="1310211596">
    <w:abstractNumId w:val="1"/>
  </w:num>
  <w:num w:numId="10" w16cid:durableId="1928924382">
    <w:abstractNumId w:val="8"/>
  </w:num>
  <w:num w:numId="11" w16cid:durableId="1367832755">
    <w:abstractNumId w:val="16"/>
  </w:num>
  <w:num w:numId="12" w16cid:durableId="775054161">
    <w:abstractNumId w:val="20"/>
  </w:num>
  <w:num w:numId="13" w16cid:durableId="1452940648">
    <w:abstractNumId w:val="11"/>
  </w:num>
  <w:num w:numId="14" w16cid:durableId="1623997734">
    <w:abstractNumId w:val="9"/>
  </w:num>
  <w:num w:numId="15" w16cid:durableId="1351564566">
    <w:abstractNumId w:val="4"/>
  </w:num>
  <w:num w:numId="16" w16cid:durableId="1592856836">
    <w:abstractNumId w:val="10"/>
  </w:num>
  <w:num w:numId="17" w16cid:durableId="1934901499">
    <w:abstractNumId w:val="6"/>
  </w:num>
  <w:num w:numId="18" w16cid:durableId="1677995775">
    <w:abstractNumId w:val="5"/>
  </w:num>
  <w:num w:numId="19" w16cid:durableId="1808545120">
    <w:abstractNumId w:val="24"/>
  </w:num>
  <w:num w:numId="20" w16cid:durableId="1380977463">
    <w:abstractNumId w:val="23"/>
  </w:num>
  <w:num w:numId="21" w16cid:durableId="470824738">
    <w:abstractNumId w:val="13"/>
  </w:num>
  <w:num w:numId="22" w16cid:durableId="1652053870">
    <w:abstractNumId w:val="18"/>
  </w:num>
  <w:num w:numId="23" w16cid:durableId="464615647">
    <w:abstractNumId w:val="21"/>
  </w:num>
  <w:num w:numId="24" w16cid:durableId="297417855">
    <w:abstractNumId w:val="2"/>
  </w:num>
  <w:num w:numId="25" w16cid:durableId="1944721460">
    <w:abstractNumId w:val="19"/>
  </w:num>
  <w:num w:numId="26" w16cid:durableId="545873885">
    <w:abstractNumId w:val="30"/>
  </w:num>
  <w:num w:numId="27" w16cid:durableId="609974361">
    <w:abstractNumId w:val="15"/>
  </w:num>
  <w:num w:numId="28" w16cid:durableId="903417915">
    <w:abstractNumId w:val="22"/>
  </w:num>
  <w:num w:numId="29" w16cid:durableId="2053797157">
    <w:abstractNumId w:val="14"/>
  </w:num>
  <w:num w:numId="30" w16cid:durableId="429546398">
    <w:abstractNumId w:val="3"/>
  </w:num>
  <w:num w:numId="31" w16cid:durableId="1496259558">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D71"/>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A91"/>
    <w:rsid w:val="000147A5"/>
    <w:rsid w:val="00016AF3"/>
    <w:rsid w:val="00021C84"/>
    <w:rsid w:val="000235A5"/>
    <w:rsid w:val="000237AB"/>
    <w:rsid w:val="00024B36"/>
    <w:rsid w:val="00024B46"/>
    <w:rsid w:val="00025699"/>
    <w:rsid w:val="00026A8D"/>
    <w:rsid w:val="00027241"/>
    <w:rsid w:val="00027314"/>
    <w:rsid w:val="00027BB2"/>
    <w:rsid w:val="00027D03"/>
    <w:rsid w:val="00030C1E"/>
    <w:rsid w:val="000334B6"/>
    <w:rsid w:val="0003453A"/>
    <w:rsid w:val="00034EDB"/>
    <w:rsid w:val="00035464"/>
    <w:rsid w:val="000372C9"/>
    <w:rsid w:val="0004023E"/>
    <w:rsid w:val="000403CE"/>
    <w:rsid w:val="00040F2E"/>
    <w:rsid w:val="00040F48"/>
    <w:rsid w:val="00041BB2"/>
    <w:rsid w:val="00042406"/>
    <w:rsid w:val="00042518"/>
    <w:rsid w:val="000428FA"/>
    <w:rsid w:val="000449A7"/>
    <w:rsid w:val="0004551F"/>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7F5"/>
    <w:rsid w:val="00064195"/>
    <w:rsid w:val="00064FDB"/>
    <w:rsid w:val="00065A4A"/>
    <w:rsid w:val="0006692A"/>
    <w:rsid w:val="00067899"/>
    <w:rsid w:val="00067E05"/>
    <w:rsid w:val="000702AA"/>
    <w:rsid w:val="000704DB"/>
    <w:rsid w:val="00071C1F"/>
    <w:rsid w:val="00072B87"/>
    <w:rsid w:val="00072C05"/>
    <w:rsid w:val="0007502A"/>
    <w:rsid w:val="00075B10"/>
    <w:rsid w:val="000779A3"/>
    <w:rsid w:val="0008098E"/>
    <w:rsid w:val="00080D39"/>
    <w:rsid w:val="00082B70"/>
    <w:rsid w:val="00083507"/>
    <w:rsid w:val="000844F5"/>
    <w:rsid w:val="00084603"/>
    <w:rsid w:val="00084827"/>
    <w:rsid w:val="000848DC"/>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F39"/>
    <w:rsid w:val="000A4E2A"/>
    <w:rsid w:val="000A50AD"/>
    <w:rsid w:val="000A59F1"/>
    <w:rsid w:val="000A6B31"/>
    <w:rsid w:val="000A6B83"/>
    <w:rsid w:val="000A6F11"/>
    <w:rsid w:val="000A7C9B"/>
    <w:rsid w:val="000B0734"/>
    <w:rsid w:val="000B088B"/>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D7FE0"/>
    <w:rsid w:val="000E0220"/>
    <w:rsid w:val="000E0404"/>
    <w:rsid w:val="000E14E6"/>
    <w:rsid w:val="000E1816"/>
    <w:rsid w:val="000E310E"/>
    <w:rsid w:val="000E3B90"/>
    <w:rsid w:val="000E3D35"/>
    <w:rsid w:val="000E6110"/>
    <w:rsid w:val="000E6A6A"/>
    <w:rsid w:val="000E7A8A"/>
    <w:rsid w:val="000F1ADE"/>
    <w:rsid w:val="000F21EA"/>
    <w:rsid w:val="000F4459"/>
    <w:rsid w:val="000F58AF"/>
    <w:rsid w:val="000F5E92"/>
    <w:rsid w:val="000F689F"/>
    <w:rsid w:val="000F690C"/>
    <w:rsid w:val="000F6A41"/>
    <w:rsid w:val="000F6E3B"/>
    <w:rsid w:val="001012A9"/>
    <w:rsid w:val="00101305"/>
    <w:rsid w:val="001014D9"/>
    <w:rsid w:val="001021EC"/>
    <w:rsid w:val="001035EF"/>
    <w:rsid w:val="00104BA2"/>
    <w:rsid w:val="00104EB1"/>
    <w:rsid w:val="00105889"/>
    <w:rsid w:val="00105C84"/>
    <w:rsid w:val="00105F75"/>
    <w:rsid w:val="001062AC"/>
    <w:rsid w:val="00106F13"/>
    <w:rsid w:val="001076B0"/>
    <w:rsid w:val="001078E1"/>
    <w:rsid w:val="00107CE2"/>
    <w:rsid w:val="00107D91"/>
    <w:rsid w:val="001102E6"/>
    <w:rsid w:val="001126A8"/>
    <w:rsid w:val="00112815"/>
    <w:rsid w:val="00112A2C"/>
    <w:rsid w:val="00112A6B"/>
    <w:rsid w:val="00113043"/>
    <w:rsid w:val="0011467E"/>
    <w:rsid w:val="00114FD2"/>
    <w:rsid w:val="001156F1"/>
    <w:rsid w:val="0011644D"/>
    <w:rsid w:val="00116A94"/>
    <w:rsid w:val="001174BF"/>
    <w:rsid w:val="0012020C"/>
    <w:rsid w:val="001206CE"/>
    <w:rsid w:val="001217BE"/>
    <w:rsid w:val="001221BA"/>
    <w:rsid w:val="00122504"/>
    <w:rsid w:val="00122733"/>
    <w:rsid w:val="00123F5C"/>
    <w:rsid w:val="00124C48"/>
    <w:rsid w:val="001276FE"/>
    <w:rsid w:val="001344C2"/>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691"/>
    <w:rsid w:val="00172B85"/>
    <w:rsid w:val="00173A8A"/>
    <w:rsid w:val="00173D7C"/>
    <w:rsid w:val="0017449C"/>
    <w:rsid w:val="001749C3"/>
    <w:rsid w:val="00175EB0"/>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696"/>
    <w:rsid w:val="0019784F"/>
    <w:rsid w:val="00197A30"/>
    <w:rsid w:val="00197E06"/>
    <w:rsid w:val="001A0537"/>
    <w:rsid w:val="001A11A7"/>
    <w:rsid w:val="001A2E26"/>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3CE"/>
    <w:rsid w:val="001B4DEC"/>
    <w:rsid w:val="001B4FB1"/>
    <w:rsid w:val="001B60DE"/>
    <w:rsid w:val="001C008B"/>
    <w:rsid w:val="001C0769"/>
    <w:rsid w:val="001C17EA"/>
    <w:rsid w:val="001C239C"/>
    <w:rsid w:val="001C2E97"/>
    <w:rsid w:val="001C3435"/>
    <w:rsid w:val="001C3966"/>
    <w:rsid w:val="001C4006"/>
    <w:rsid w:val="001C4700"/>
    <w:rsid w:val="001C5A18"/>
    <w:rsid w:val="001C5C5D"/>
    <w:rsid w:val="001C5F34"/>
    <w:rsid w:val="001C614E"/>
    <w:rsid w:val="001C669F"/>
    <w:rsid w:val="001C720C"/>
    <w:rsid w:val="001D03D3"/>
    <w:rsid w:val="001D1453"/>
    <w:rsid w:val="001D1E48"/>
    <w:rsid w:val="001D1FF2"/>
    <w:rsid w:val="001D36D7"/>
    <w:rsid w:val="001D374C"/>
    <w:rsid w:val="001D5DD2"/>
    <w:rsid w:val="001D5F78"/>
    <w:rsid w:val="001D7A0B"/>
    <w:rsid w:val="001D7A75"/>
    <w:rsid w:val="001D7E76"/>
    <w:rsid w:val="001E0AA2"/>
    <w:rsid w:val="001E0E7B"/>
    <w:rsid w:val="001E19EF"/>
    <w:rsid w:val="001E1CEE"/>
    <w:rsid w:val="001E1D2E"/>
    <w:rsid w:val="001E1F5E"/>
    <w:rsid w:val="001E366D"/>
    <w:rsid w:val="001E4215"/>
    <w:rsid w:val="001E5EFB"/>
    <w:rsid w:val="001E63F2"/>
    <w:rsid w:val="001E6C3F"/>
    <w:rsid w:val="001E7064"/>
    <w:rsid w:val="001E7C37"/>
    <w:rsid w:val="001E7EFB"/>
    <w:rsid w:val="001F028F"/>
    <w:rsid w:val="001F1106"/>
    <w:rsid w:val="001F1231"/>
    <w:rsid w:val="001F1584"/>
    <w:rsid w:val="001F2D88"/>
    <w:rsid w:val="001F2DE2"/>
    <w:rsid w:val="001F2FC4"/>
    <w:rsid w:val="001F30DE"/>
    <w:rsid w:val="001F36B6"/>
    <w:rsid w:val="001F429F"/>
    <w:rsid w:val="001F4DE5"/>
    <w:rsid w:val="002008EE"/>
    <w:rsid w:val="00200E3F"/>
    <w:rsid w:val="002018F7"/>
    <w:rsid w:val="002020E8"/>
    <w:rsid w:val="00203B08"/>
    <w:rsid w:val="002040F6"/>
    <w:rsid w:val="0020429E"/>
    <w:rsid w:val="00204C4D"/>
    <w:rsid w:val="0020589D"/>
    <w:rsid w:val="00205D5A"/>
    <w:rsid w:val="002069B2"/>
    <w:rsid w:val="00206E20"/>
    <w:rsid w:val="00210E0F"/>
    <w:rsid w:val="002111A6"/>
    <w:rsid w:val="00211851"/>
    <w:rsid w:val="002119B6"/>
    <w:rsid w:val="002122F2"/>
    <w:rsid w:val="0021535C"/>
    <w:rsid w:val="00215EB3"/>
    <w:rsid w:val="0021729E"/>
    <w:rsid w:val="00217B4F"/>
    <w:rsid w:val="00220F36"/>
    <w:rsid w:val="00222757"/>
    <w:rsid w:val="00222DFA"/>
    <w:rsid w:val="00222E01"/>
    <w:rsid w:val="0022414E"/>
    <w:rsid w:val="00224D9E"/>
    <w:rsid w:val="00226338"/>
    <w:rsid w:val="00227BA8"/>
    <w:rsid w:val="0023001C"/>
    <w:rsid w:val="002303CF"/>
    <w:rsid w:val="002317BC"/>
    <w:rsid w:val="00232931"/>
    <w:rsid w:val="00232DDB"/>
    <w:rsid w:val="0023347C"/>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2E77"/>
    <w:rsid w:val="00263483"/>
    <w:rsid w:val="00264CBC"/>
    <w:rsid w:val="0026588F"/>
    <w:rsid w:val="00265AF9"/>
    <w:rsid w:val="0026642F"/>
    <w:rsid w:val="002679A5"/>
    <w:rsid w:val="002704A3"/>
    <w:rsid w:val="0027067C"/>
    <w:rsid w:val="00270A4D"/>
    <w:rsid w:val="00272D9A"/>
    <w:rsid w:val="002737EF"/>
    <w:rsid w:val="00274335"/>
    <w:rsid w:val="00274864"/>
    <w:rsid w:val="00274B22"/>
    <w:rsid w:val="00277FC5"/>
    <w:rsid w:val="00284ADD"/>
    <w:rsid w:val="00285363"/>
    <w:rsid w:val="00285DA7"/>
    <w:rsid w:val="00286683"/>
    <w:rsid w:val="00286FE0"/>
    <w:rsid w:val="002878A1"/>
    <w:rsid w:val="002912CD"/>
    <w:rsid w:val="00295770"/>
    <w:rsid w:val="00295DDD"/>
    <w:rsid w:val="00296362"/>
    <w:rsid w:val="002968A6"/>
    <w:rsid w:val="00296D90"/>
    <w:rsid w:val="0029703E"/>
    <w:rsid w:val="002A0239"/>
    <w:rsid w:val="002A02E5"/>
    <w:rsid w:val="002A1860"/>
    <w:rsid w:val="002A1997"/>
    <w:rsid w:val="002A237B"/>
    <w:rsid w:val="002A32E0"/>
    <w:rsid w:val="002A3C84"/>
    <w:rsid w:val="002A3F53"/>
    <w:rsid w:val="002A4221"/>
    <w:rsid w:val="002A6274"/>
    <w:rsid w:val="002A6707"/>
    <w:rsid w:val="002A688D"/>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E2F"/>
    <w:rsid w:val="002C6925"/>
    <w:rsid w:val="002C75E1"/>
    <w:rsid w:val="002C77E1"/>
    <w:rsid w:val="002D066B"/>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0C4"/>
    <w:rsid w:val="002E41E2"/>
    <w:rsid w:val="002E46B9"/>
    <w:rsid w:val="002E54AE"/>
    <w:rsid w:val="002E5ACB"/>
    <w:rsid w:val="002E6DEC"/>
    <w:rsid w:val="002E7BF5"/>
    <w:rsid w:val="002F0752"/>
    <w:rsid w:val="002F1ABB"/>
    <w:rsid w:val="002F359D"/>
    <w:rsid w:val="002F3FDE"/>
    <w:rsid w:val="002F435A"/>
    <w:rsid w:val="002F4CE9"/>
    <w:rsid w:val="002F4EC2"/>
    <w:rsid w:val="002F51F3"/>
    <w:rsid w:val="002F5320"/>
    <w:rsid w:val="002F5D09"/>
    <w:rsid w:val="002F757C"/>
    <w:rsid w:val="00300C2F"/>
    <w:rsid w:val="003020DB"/>
    <w:rsid w:val="00302816"/>
    <w:rsid w:val="00302BC0"/>
    <w:rsid w:val="003032A9"/>
    <w:rsid w:val="00303B91"/>
    <w:rsid w:val="00303D9A"/>
    <w:rsid w:val="00304070"/>
    <w:rsid w:val="003054C3"/>
    <w:rsid w:val="00306538"/>
    <w:rsid w:val="00307058"/>
    <w:rsid w:val="003071A8"/>
    <w:rsid w:val="00307464"/>
    <w:rsid w:val="0031143A"/>
    <w:rsid w:val="00311F1B"/>
    <w:rsid w:val="00313275"/>
    <w:rsid w:val="00313E83"/>
    <w:rsid w:val="00316228"/>
    <w:rsid w:val="003175A1"/>
    <w:rsid w:val="003218C6"/>
    <w:rsid w:val="00322783"/>
    <w:rsid w:val="00322BCF"/>
    <w:rsid w:val="003243E3"/>
    <w:rsid w:val="00324698"/>
    <w:rsid w:val="00325558"/>
    <w:rsid w:val="00325771"/>
    <w:rsid w:val="00325E0E"/>
    <w:rsid w:val="003310EC"/>
    <w:rsid w:val="00331955"/>
    <w:rsid w:val="00331C00"/>
    <w:rsid w:val="0033208B"/>
    <w:rsid w:val="00332799"/>
    <w:rsid w:val="00332811"/>
    <w:rsid w:val="00334282"/>
    <w:rsid w:val="00334980"/>
    <w:rsid w:val="003363CC"/>
    <w:rsid w:val="0033659B"/>
    <w:rsid w:val="0033727F"/>
    <w:rsid w:val="00340521"/>
    <w:rsid w:val="00340E34"/>
    <w:rsid w:val="003421A5"/>
    <w:rsid w:val="003423AA"/>
    <w:rsid w:val="0034286F"/>
    <w:rsid w:val="00343665"/>
    <w:rsid w:val="00343937"/>
    <w:rsid w:val="00344B03"/>
    <w:rsid w:val="00345B1A"/>
    <w:rsid w:val="00346D03"/>
    <w:rsid w:val="003473CB"/>
    <w:rsid w:val="00347515"/>
    <w:rsid w:val="003510A0"/>
    <w:rsid w:val="003514EB"/>
    <w:rsid w:val="00352152"/>
    <w:rsid w:val="003525D5"/>
    <w:rsid w:val="003531C1"/>
    <w:rsid w:val="00353C12"/>
    <w:rsid w:val="003540A1"/>
    <w:rsid w:val="003544E0"/>
    <w:rsid w:val="003544F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B30"/>
    <w:rsid w:val="00365343"/>
    <w:rsid w:val="0036671B"/>
    <w:rsid w:val="003676DE"/>
    <w:rsid w:val="0036779C"/>
    <w:rsid w:val="00372AEE"/>
    <w:rsid w:val="00374229"/>
    <w:rsid w:val="0037453B"/>
    <w:rsid w:val="00375A23"/>
    <w:rsid w:val="00375D49"/>
    <w:rsid w:val="003762A4"/>
    <w:rsid w:val="003770DA"/>
    <w:rsid w:val="00377281"/>
    <w:rsid w:val="0037E466"/>
    <w:rsid w:val="00380F70"/>
    <w:rsid w:val="003811C3"/>
    <w:rsid w:val="003817C1"/>
    <w:rsid w:val="00381CDC"/>
    <w:rsid w:val="00381E8A"/>
    <w:rsid w:val="00381FD3"/>
    <w:rsid w:val="00385566"/>
    <w:rsid w:val="003857BB"/>
    <w:rsid w:val="00385C5C"/>
    <w:rsid w:val="00386B53"/>
    <w:rsid w:val="00387794"/>
    <w:rsid w:val="0038785C"/>
    <w:rsid w:val="0039010E"/>
    <w:rsid w:val="00390B82"/>
    <w:rsid w:val="00390EB0"/>
    <w:rsid w:val="00390FC7"/>
    <w:rsid w:val="0039223F"/>
    <w:rsid w:val="00392F82"/>
    <w:rsid w:val="0039353D"/>
    <w:rsid w:val="003937AD"/>
    <w:rsid w:val="00393BA9"/>
    <w:rsid w:val="0039625A"/>
    <w:rsid w:val="003970CB"/>
    <w:rsid w:val="003A0C73"/>
    <w:rsid w:val="003A144F"/>
    <w:rsid w:val="003A2976"/>
    <w:rsid w:val="003A2E5E"/>
    <w:rsid w:val="003A4A9F"/>
    <w:rsid w:val="003A52E3"/>
    <w:rsid w:val="003A5B03"/>
    <w:rsid w:val="003B0628"/>
    <w:rsid w:val="003B178E"/>
    <w:rsid w:val="003B283B"/>
    <w:rsid w:val="003B3C0F"/>
    <w:rsid w:val="003B4760"/>
    <w:rsid w:val="003B4DD6"/>
    <w:rsid w:val="003B4F81"/>
    <w:rsid w:val="003B539A"/>
    <w:rsid w:val="003B5B6C"/>
    <w:rsid w:val="003B66F6"/>
    <w:rsid w:val="003B7036"/>
    <w:rsid w:val="003B7854"/>
    <w:rsid w:val="003C16DA"/>
    <w:rsid w:val="003C4F41"/>
    <w:rsid w:val="003C5BA2"/>
    <w:rsid w:val="003D17C7"/>
    <w:rsid w:val="003D1B49"/>
    <w:rsid w:val="003D1CF3"/>
    <w:rsid w:val="003D207B"/>
    <w:rsid w:val="003D244B"/>
    <w:rsid w:val="003D2D34"/>
    <w:rsid w:val="003D2F57"/>
    <w:rsid w:val="003D4F6F"/>
    <w:rsid w:val="003D5104"/>
    <w:rsid w:val="003D56A4"/>
    <w:rsid w:val="003D6DA5"/>
    <w:rsid w:val="003E037B"/>
    <w:rsid w:val="003E38C7"/>
    <w:rsid w:val="003E43FE"/>
    <w:rsid w:val="003E7DD6"/>
    <w:rsid w:val="003F1282"/>
    <w:rsid w:val="003F1C8E"/>
    <w:rsid w:val="003F1E87"/>
    <w:rsid w:val="003F24A1"/>
    <w:rsid w:val="003F256E"/>
    <w:rsid w:val="003F26D7"/>
    <w:rsid w:val="003F2B00"/>
    <w:rsid w:val="003F2E77"/>
    <w:rsid w:val="003F338D"/>
    <w:rsid w:val="003F39C3"/>
    <w:rsid w:val="003F4908"/>
    <w:rsid w:val="003F5B6F"/>
    <w:rsid w:val="003F680F"/>
    <w:rsid w:val="00400800"/>
    <w:rsid w:val="00401843"/>
    <w:rsid w:val="00401FDF"/>
    <w:rsid w:val="004024D0"/>
    <w:rsid w:val="00404119"/>
    <w:rsid w:val="00404453"/>
    <w:rsid w:val="00405D8B"/>
    <w:rsid w:val="00406643"/>
    <w:rsid w:val="00406A1C"/>
    <w:rsid w:val="00410170"/>
    <w:rsid w:val="00410853"/>
    <w:rsid w:val="00410FCF"/>
    <w:rsid w:val="00413B91"/>
    <w:rsid w:val="0041424B"/>
    <w:rsid w:val="00414CFC"/>
    <w:rsid w:val="0041568D"/>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EC4"/>
    <w:rsid w:val="004474C7"/>
    <w:rsid w:val="00450A41"/>
    <w:rsid w:val="00450AD7"/>
    <w:rsid w:val="00450C15"/>
    <w:rsid w:val="004514AB"/>
    <w:rsid w:val="00452F13"/>
    <w:rsid w:val="004557A1"/>
    <w:rsid w:val="00455E1B"/>
    <w:rsid w:val="00460A6D"/>
    <w:rsid w:val="00461552"/>
    <w:rsid w:val="00463B1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5C3A"/>
    <w:rsid w:val="00486758"/>
    <w:rsid w:val="00486984"/>
    <w:rsid w:val="00486B53"/>
    <w:rsid w:val="00486C77"/>
    <w:rsid w:val="00487AFB"/>
    <w:rsid w:val="00490235"/>
    <w:rsid w:val="0049168C"/>
    <w:rsid w:val="00492A2E"/>
    <w:rsid w:val="00493986"/>
    <w:rsid w:val="00493E0A"/>
    <w:rsid w:val="00494A74"/>
    <w:rsid w:val="00494B67"/>
    <w:rsid w:val="00496413"/>
    <w:rsid w:val="004967F3"/>
    <w:rsid w:val="00496B4D"/>
    <w:rsid w:val="00496DAB"/>
    <w:rsid w:val="004A06B9"/>
    <w:rsid w:val="004A14A0"/>
    <w:rsid w:val="004A1B2A"/>
    <w:rsid w:val="004A1C8C"/>
    <w:rsid w:val="004A1F19"/>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6F5"/>
    <w:rsid w:val="004B666D"/>
    <w:rsid w:val="004B739E"/>
    <w:rsid w:val="004B77AB"/>
    <w:rsid w:val="004C006D"/>
    <w:rsid w:val="004C1CF2"/>
    <w:rsid w:val="004C20B7"/>
    <w:rsid w:val="004C375D"/>
    <w:rsid w:val="004C3866"/>
    <w:rsid w:val="004C3A52"/>
    <w:rsid w:val="004C4CDF"/>
    <w:rsid w:val="004C6739"/>
    <w:rsid w:val="004C70AC"/>
    <w:rsid w:val="004C7280"/>
    <w:rsid w:val="004D2730"/>
    <w:rsid w:val="004D3416"/>
    <w:rsid w:val="004D5810"/>
    <w:rsid w:val="004D6484"/>
    <w:rsid w:val="004D7C53"/>
    <w:rsid w:val="004E4F56"/>
    <w:rsid w:val="004E51B5"/>
    <w:rsid w:val="004F0882"/>
    <w:rsid w:val="004F0C55"/>
    <w:rsid w:val="004F276F"/>
    <w:rsid w:val="004F48E8"/>
    <w:rsid w:val="004F5354"/>
    <w:rsid w:val="00501CCF"/>
    <w:rsid w:val="00501CEA"/>
    <w:rsid w:val="00502833"/>
    <w:rsid w:val="00502C8A"/>
    <w:rsid w:val="00502F7A"/>
    <w:rsid w:val="005038B9"/>
    <w:rsid w:val="00504B4A"/>
    <w:rsid w:val="00505115"/>
    <w:rsid w:val="00505181"/>
    <w:rsid w:val="00505C53"/>
    <w:rsid w:val="00507978"/>
    <w:rsid w:val="0051025C"/>
    <w:rsid w:val="00511F22"/>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09D"/>
    <w:rsid w:val="00532585"/>
    <w:rsid w:val="00532B66"/>
    <w:rsid w:val="00536B60"/>
    <w:rsid w:val="00537706"/>
    <w:rsid w:val="005405A8"/>
    <w:rsid w:val="00541713"/>
    <w:rsid w:val="00542E3C"/>
    <w:rsid w:val="00543246"/>
    <w:rsid w:val="005438B5"/>
    <w:rsid w:val="005439FC"/>
    <w:rsid w:val="00543A7C"/>
    <w:rsid w:val="00543D45"/>
    <w:rsid w:val="00544705"/>
    <w:rsid w:val="00545554"/>
    <w:rsid w:val="00545C25"/>
    <w:rsid w:val="0054662E"/>
    <w:rsid w:val="0054680A"/>
    <w:rsid w:val="00547B98"/>
    <w:rsid w:val="0055251F"/>
    <w:rsid w:val="00553BB6"/>
    <w:rsid w:val="00554079"/>
    <w:rsid w:val="00554F39"/>
    <w:rsid w:val="0055593D"/>
    <w:rsid w:val="005576AE"/>
    <w:rsid w:val="0056015A"/>
    <w:rsid w:val="00561537"/>
    <w:rsid w:val="00563224"/>
    <w:rsid w:val="00563432"/>
    <w:rsid w:val="00564DA8"/>
    <w:rsid w:val="00566FDB"/>
    <w:rsid w:val="00570082"/>
    <w:rsid w:val="00571BA3"/>
    <w:rsid w:val="005722D9"/>
    <w:rsid w:val="005733AF"/>
    <w:rsid w:val="00574C66"/>
    <w:rsid w:val="005758ED"/>
    <w:rsid w:val="00575D67"/>
    <w:rsid w:val="0057678E"/>
    <w:rsid w:val="00576C68"/>
    <w:rsid w:val="00576ED8"/>
    <w:rsid w:val="005774C5"/>
    <w:rsid w:val="0058010C"/>
    <w:rsid w:val="00580679"/>
    <w:rsid w:val="0058109E"/>
    <w:rsid w:val="00582798"/>
    <w:rsid w:val="00582995"/>
    <w:rsid w:val="00584EE1"/>
    <w:rsid w:val="00586A0A"/>
    <w:rsid w:val="005870D5"/>
    <w:rsid w:val="00587FAE"/>
    <w:rsid w:val="005900AD"/>
    <w:rsid w:val="005923CF"/>
    <w:rsid w:val="00592CDE"/>
    <w:rsid w:val="00592EBB"/>
    <w:rsid w:val="005938A6"/>
    <w:rsid w:val="005946B7"/>
    <w:rsid w:val="00595185"/>
    <w:rsid w:val="0059609B"/>
    <w:rsid w:val="00596289"/>
    <w:rsid w:val="00596CC5"/>
    <w:rsid w:val="0059749A"/>
    <w:rsid w:val="0059772D"/>
    <w:rsid w:val="005A03B5"/>
    <w:rsid w:val="005A2023"/>
    <w:rsid w:val="005A270C"/>
    <w:rsid w:val="005A2821"/>
    <w:rsid w:val="005A2900"/>
    <w:rsid w:val="005A383B"/>
    <w:rsid w:val="005A4E4C"/>
    <w:rsid w:val="005A54A2"/>
    <w:rsid w:val="005A5613"/>
    <w:rsid w:val="005A76C9"/>
    <w:rsid w:val="005B1DCF"/>
    <w:rsid w:val="005B1EB7"/>
    <w:rsid w:val="005B21DA"/>
    <w:rsid w:val="005B355B"/>
    <w:rsid w:val="005B4539"/>
    <w:rsid w:val="005B582C"/>
    <w:rsid w:val="005C327C"/>
    <w:rsid w:val="005C4420"/>
    <w:rsid w:val="005C5681"/>
    <w:rsid w:val="005C5701"/>
    <w:rsid w:val="005C6A1D"/>
    <w:rsid w:val="005C6A67"/>
    <w:rsid w:val="005C765C"/>
    <w:rsid w:val="005C7DF6"/>
    <w:rsid w:val="005D02C9"/>
    <w:rsid w:val="005D1868"/>
    <w:rsid w:val="005D2430"/>
    <w:rsid w:val="005D55BE"/>
    <w:rsid w:val="005D7CD4"/>
    <w:rsid w:val="005E0296"/>
    <w:rsid w:val="005E0E9E"/>
    <w:rsid w:val="005E264E"/>
    <w:rsid w:val="005E2F27"/>
    <w:rsid w:val="005E3E00"/>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9CD"/>
    <w:rsid w:val="00602D74"/>
    <w:rsid w:val="0060378D"/>
    <w:rsid w:val="00603B3F"/>
    <w:rsid w:val="00605595"/>
    <w:rsid w:val="0060639F"/>
    <w:rsid w:val="006066A3"/>
    <w:rsid w:val="00606B61"/>
    <w:rsid w:val="00606B99"/>
    <w:rsid w:val="00606F29"/>
    <w:rsid w:val="00607831"/>
    <w:rsid w:val="0061055A"/>
    <w:rsid w:val="00610D24"/>
    <w:rsid w:val="00610F28"/>
    <w:rsid w:val="00610F42"/>
    <w:rsid w:val="00611327"/>
    <w:rsid w:val="0061167D"/>
    <w:rsid w:val="00611927"/>
    <w:rsid w:val="0061279C"/>
    <w:rsid w:val="00612981"/>
    <w:rsid w:val="00612E55"/>
    <w:rsid w:val="00613220"/>
    <w:rsid w:val="00613384"/>
    <w:rsid w:val="00613AC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3E4"/>
    <w:rsid w:val="0063488C"/>
    <w:rsid w:val="00636096"/>
    <w:rsid w:val="00636834"/>
    <w:rsid w:val="00637FAE"/>
    <w:rsid w:val="0064134E"/>
    <w:rsid w:val="00641484"/>
    <w:rsid w:val="00641E18"/>
    <w:rsid w:val="00641ECB"/>
    <w:rsid w:val="006422ED"/>
    <w:rsid w:val="00643E46"/>
    <w:rsid w:val="00644A8F"/>
    <w:rsid w:val="006450DB"/>
    <w:rsid w:val="0064585A"/>
    <w:rsid w:val="00646CCB"/>
    <w:rsid w:val="00647D9B"/>
    <w:rsid w:val="006502DF"/>
    <w:rsid w:val="006506E7"/>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A4B"/>
    <w:rsid w:val="00666CB6"/>
    <w:rsid w:val="00667CAC"/>
    <w:rsid w:val="00671EA4"/>
    <w:rsid w:val="006736BC"/>
    <w:rsid w:val="006746D5"/>
    <w:rsid w:val="0067532A"/>
    <w:rsid w:val="00675752"/>
    <w:rsid w:val="00677030"/>
    <w:rsid w:val="006770B7"/>
    <w:rsid w:val="00677E7F"/>
    <w:rsid w:val="00677EE8"/>
    <w:rsid w:val="00677F3F"/>
    <w:rsid w:val="006801E4"/>
    <w:rsid w:val="006832AB"/>
    <w:rsid w:val="0068361B"/>
    <w:rsid w:val="00683A9D"/>
    <w:rsid w:val="00683DB5"/>
    <w:rsid w:val="006840CD"/>
    <w:rsid w:val="00685A4F"/>
    <w:rsid w:val="006878AC"/>
    <w:rsid w:val="00690206"/>
    <w:rsid w:val="00690B2A"/>
    <w:rsid w:val="00691D16"/>
    <w:rsid w:val="00692CDC"/>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5142"/>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3DA"/>
    <w:rsid w:val="006C655F"/>
    <w:rsid w:val="006C6972"/>
    <w:rsid w:val="006C6CF7"/>
    <w:rsid w:val="006C7324"/>
    <w:rsid w:val="006D005C"/>
    <w:rsid w:val="006D0F88"/>
    <w:rsid w:val="006D261A"/>
    <w:rsid w:val="006D2944"/>
    <w:rsid w:val="006D3391"/>
    <w:rsid w:val="006D43AA"/>
    <w:rsid w:val="006D4C70"/>
    <w:rsid w:val="006D5605"/>
    <w:rsid w:val="006D5A22"/>
    <w:rsid w:val="006D5D86"/>
    <w:rsid w:val="006D7BA3"/>
    <w:rsid w:val="006E0F72"/>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49F"/>
    <w:rsid w:val="007245FC"/>
    <w:rsid w:val="007250B7"/>
    <w:rsid w:val="007274CB"/>
    <w:rsid w:val="0072785A"/>
    <w:rsid w:val="0073060E"/>
    <w:rsid w:val="00730E27"/>
    <w:rsid w:val="007312A3"/>
    <w:rsid w:val="00732D3A"/>
    <w:rsid w:val="007335CD"/>
    <w:rsid w:val="00733903"/>
    <w:rsid w:val="00733A8C"/>
    <w:rsid w:val="00733D39"/>
    <w:rsid w:val="0073465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547"/>
    <w:rsid w:val="00750585"/>
    <w:rsid w:val="00750A02"/>
    <w:rsid w:val="007512DC"/>
    <w:rsid w:val="00752CD3"/>
    <w:rsid w:val="00753427"/>
    <w:rsid w:val="0075345B"/>
    <w:rsid w:val="0075419A"/>
    <w:rsid w:val="007543B9"/>
    <w:rsid w:val="00754C24"/>
    <w:rsid w:val="007557DF"/>
    <w:rsid w:val="0075609B"/>
    <w:rsid w:val="00756E62"/>
    <w:rsid w:val="007600D1"/>
    <w:rsid w:val="00760C18"/>
    <w:rsid w:val="007615D2"/>
    <w:rsid w:val="00763C64"/>
    <w:rsid w:val="00764D1A"/>
    <w:rsid w:val="00764D39"/>
    <w:rsid w:val="00764DB3"/>
    <w:rsid w:val="00765130"/>
    <w:rsid w:val="007653FB"/>
    <w:rsid w:val="0076706A"/>
    <w:rsid w:val="0077017A"/>
    <w:rsid w:val="007710D7"/>
    <w:rsid w:val="00773639"/>
    <w:rsid w:val="00774353"/>
    <w:rsid w:val="00775056"/>
    <w:rsid w:val="007759A9"/>
    <w:rsid w:val="007759EF"/>
    <w:rsid w:val="00775C7B"/>
    <w:rsid w:val="007763F3"/>
    <w:rsid w:val="00777550"/>
    <w:rsid w:val="00777BF4"/>
    <w:rsid w:val="00777E1D"/>
    <w:rsid w:val="007802C6"/>
    <w:rsid w:val="007807DE"/>
    <w:rsid w:val="00782ABB"/>
    <w:rsid w:val="00782B03"/>
    <w:rsid w:val="00783F69"/>
    <w:rsid w:val="0078435B"/>
    <w:rsid w:val="0078610D"/>
    <w:rsid w:val="007866CF"/>
    <w:rsid w:val="00786AC9"/>
    <w:rsid w:val="00786EC4"/>
    <w:rsid w:val="00791ED5"/>
    <w:rsid w:val="00792AC3"/>
    <w:rsid w:val="007936B2"/>
    <w:rsid w:val="007936C6"/>
    <w:rsid w:val="007939C4"/>
    <w:rsid w:val="00794B0F"/>
    <w:rsid w:val="00794D7C"/>
    <w:rsid w:val="00795F60"/>
    <w:rsid w:val="007963A0"/>
    <w:rsid w:val="00796DBC"/>
    <w:rsid w:val="007976D7"/>
    <w:rsid w:val="007A24F7"/>
    <w:rsid w:val="007A316E"/>
    <w:rsid w:val="007A3838"/>
    <w:rsid w:val="007A426C"/>
    <w:rsid w:val="007A5D75"/>
    <w:rsid w:val="007A6D5E"/>
    <w:rsid w:val="007A725A"/>
    <w:rsid w:val="007A72D4"/>
    <w:rsid w:val="007A746E"/>
    <w:rsid w:val="007A7701"/>
    <w:rsid w:val="007B0F83"/>
    <w:rsid w:val="007B1CB8"/>
    <w:rsid w:val="007B2322"/>
    <w:rsid w:val="007B25C8"/>
    <w:rsid w:val="007B3452"/>
    <w:rsid w:val="007B3980"/>
    <w:rsid w:val="007B5E0C"/>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306"/>
    <w:rsid w:val="007C6423"/>
    <w:rsid w:val="007C7055"/>
    <w:rsid w:val="007C77AA"/>
    <w:rsid w:val="007D20C3"/>
    <w:rsid w:val="007D33C4"/>
    <w:rsid w:val="007D3472"/>
    <w:rsid w:val="007D366D"/>
    <w:rsid w:val="007D4EBE"/>
    <w:rsid w:val="007D5868"/>
    <w:rsid w:val="007D61F4"/>
    <w:rsid w:val="007D6613"/>
    <w:rsid w:val="007D6790"/>
    <w:rsid w:val="007D6CAB"/>
    <w:rsid w:val="007E038D"/>
    <w:rsid w:val="007E0819"/>
    <w:rsid w:val="007E08A2"/>
    <w:rsid w:val="007E120D"/>
    <w:rsid w:val="007E2561"/>
    <w:rsid w:val="007E260C"/>
    <w:rsid w:val="007E270F"/>
    <w:rsid w:val="007E364A"/>
    <w:rsid w:val="007E37DE"/>
    <w:rsid w:val="007E3C99"/>
    <w:rsid w:val="007E41AF"/>
    <w:rsid w:val="007E527E"/>
    <w:rsid w:val="007E531B"/>
    <w:rsid w:val="007E5B48"/>
    <w:rsid w:val="007E674E"/>
    <w:rsid w:val="007E6FBE"/>
    <w:rsid w:val="007E7A25"/>
    <w:rsid w:val="007F0C64"/>
    <w:rsid w:val="007F1507"/>
    <w:rsid w:val="007F4B4B"/>
    <w:rsid w:val="007F51CC"/>
    <w:rsid w:val="007F6DD7"/>
    <w:rsid w:val="007F71BD"/>
    <w:rsid w:val="007F7223"/>
    <w:rsid w:val="007F7D9C"/>
    <w:rsid w:val="008017F9"/>
    <w:rsid w:val="008022F6"/>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1E7"/>
    <w:rsid w:val="00822032"/>
    <w:rsid w:val="00824407"/>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42A"/>
    <w:rsid w:val="008377D4"/>
    <w:rsid w:val="00840208"/>
    <w:rsid w:val="00840D64"/>
    <w:rsid w:val="0084197D"/>
    <w:rsid w:val="00842886"/>
    <w:rsid w:val="008432F5"/>
    <w:rsid w:val="008434EB"/>
    <w:rsid w:val="008455E5"/>
    <w:rsid w:val="00846221"/>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F02"/>
    <w:rsid w:val="008650EB"/>
    <w:rsid w:val="00866F5B"/>
    <w:rsid w:val="0087096F"/>
    <w:rsid w:val="008709CF"/>
    <w:rsid w:val="00871D88"/>
    <w:rsid w:val="00872A9A"/>
    <w:rsid w:val="008732CE"/>
    <w:rsid w:val="0087393B"/>
    <w:rsid w:val="008747C8"/>
    <w:rsid w:val="00874E39"/>
    <w:rsid w:val="008766C1"/>
    <w:rsid w:val="00877C38"/>
    <w:rsid w:val="00877FBD"/>
    <w:rsid w:val="00880170"/>
    <w:rsid w:val="00880274"/>
    <w:rsid w:val="008812AC"/>
    <w:rsid w:val="008814AF"/>
    <w:rsid w:val="008835E8"/>
    <w:rsid w:val="008840E5"/>
    <w:rsid w:val="008854D8"/>
    <w:rsid w:val="008857E8"/>
    <w:rsid w:val="00885BE1"/>
    <w:rsid w:val="00885CB2"/>
    <w:rsid w:val="00886005"/>
    <w:rsid w:val="00887186"/>
    <w:rsid w:val="00887A64"/>
    <w:rsid w:val="00890032"/>
    <w:rsid w:val="0089120B"/>
    <w:rsid w:val="008915CB"/>
    <w:rsid w:val="00891DBD"/>
    <w:rsid w:val="0089355A"/>
    <w:rsid w:val="00894D69"/>
    <w:rsid w:val="00896A1E"/>
    <w:rsid w:val="00897600"/>
    <w:rsid w:val="00897E2C"/>
    <w:rsid w:val="008A0461"/>
    <w:rsid w:val="008A093D"/>
    <w:rsid w:val="008A14DE"/>
    <w:rsid w:val="008A1DDE"/>
    <w:rsid w:val="008A207F"/>
    <w:rsid w:val="008A345E"/>
    <w:rsid w:val="008A34D5"/>
    <w:rsid w:val="008A4685"/>
    <w:rsid w:val="008A50AD"/>
    <w:rsid w:val="008B01F1"/>
    <w:rsid w:val="008B0F60"/>
    <w:rsid w:val="008B0F8A"/>
    <w:rsid w:val="008B2418"/>
    <w:rsid w:val="008B3544"/>
    <w:rsid w:val="008B4536"/>
    <w:rsid w:val="008B46DA"/>
    <w:rsid w:val="008B5DC5"/>
    <w:rsid w:val="008B7E8C"/>
    <w:rsid w:val="008B7F82"/>
    <w:rsid w:val="008C07E1"/>
    <w:rsid w:val="008C0DA2"/>
    <w:rsid w:val="008C0FA6"/>
    <w:rsid w:val="008C2AC5"/>
    <w:rsid w:val="008C2E61"/>
    <w:rsid w:val="008C3B89"/>
    <w:rsid w:val="008C4221"/>
    <w:rsid w:val="008C4722"/>
    <w:rsid w:val="008C4916"/>
    <w:rsid w:val="008C5525"/>
    <w:rsid w:val="008C718C"/>
    <w:rsid w:val="008C7352"/>
    <w:rsid w:val="008C78AD"/>
    <w:rsid w:val="008C7C90"/>
    <w:rsid w:val="008D00E8"/>
    <w:rsid w:val="008D018C"/>
    <w:rsid w:val="008D0461"/>
    <w:rsid w:val="008D08EB"/>
    <w:rsid w:val="008D0BA1"/>
    <w:rsid w:val="008D2B18"/>
    <w:rsid w:val="008D2FA8"/>
    <w:rsid w:val="008D45C5"/>
    <w:rsid w:val="008D5150"/>
    <w:rsid w:val="008D54CE"/>
    <w:rsid w:val="008D78E4"/>
    <w:rsid w:val="008E19C3"/>
    <w:rsid w:val="008E1EEF"/>
    <w:rsid w:val="008E3BCF"/>
    <w:rsid w:val="008E418B"/>
    <w:rsid w:val="008E4B2E"/>
    <w:rsid w:val="008E540F"/>
    <w:rsid w:val="008E55CB"/>
    <w:rsid w:val="008E59EB"/>
    <w:rsid w:val="008E6AE1"/>
    <w:rsid w:val="008E760C"/>
    <w:rsid w:val="008E7785"/>
    <w:rsid w:val="008E78E2"/>
    <w:rsid w:val="008F27A6"/>
    <w:rsid w:val="008F2E64"/>
    <w:rsid w:val="008F31B3"/>
    <w:rsid w:val="008F32F0"/>
    <w:rsid w:val="008F520A"/>
    <w:rsid w:val="008F6A58"/>
    <w:rsid w:val="008F6F09"/>
    <w:rsid w:val="008F7943"/>
    <w:rsid w:val="00900BE0"/>
    <w:rsid w:val="0090170E"/>
    <w:rsid w:val="00901BF4"/>
    <w:rsid w:val="00901C62"/>
    <w:rsid w:val="00902595"/>
    <w:rsid w:val="0090264D"/>
    <w:rsid w:val="00903BD2"/>
    <w:rsid w:val="00904E48"/>
    <w:rsid w:val="00905800"/>
    <w:rsid w:val="0090597B"/>
    <w:rsid w:val="00905C1A"/>
    <w:rsid w:val="00905ED3"/>
    <w:rsid w:val="00906E8B"/>
    <w:rsid w:val="009102B5"/>
    <w:rsid w:val="00910760"/>
    <w:rsid w:val="009107D0"/>
    <w:rsid w:val="00911F20"/>
    <w:rsid w:val="009128F1"/>
    <w:rsid w:val="00912DDA"/>
    <w:rsid w:val="00913362"/>
    <w:rsid w:val="00913BB1"/>
    <w:rsid w:val="00913FA1"/>
    <w:rsid w:val="00914679"/>
    <w:rsid w:val="00914A85"/>
    <w:rsid w:val="00915243"/>
    <w:rsid w:val="00916A78"/>
    <w:rsid w:val="00916F8E"/>
    <w:rsid w:val="00917687"/>
    <w:rsid w:val="009177A2"/>
    <w:rsid w:val="00917876"/>
    <w:rsid w:val="00920154"/>
    <w:rsid w:val="00920AF4"/>
    <w:rsid w:val="00921319"/>
    <w:rsid w:val="00921386"/>
    <w:rsid w:val="00926863"/>
    <w:rsid w:val="00926D7F"/>
    <w:rsid w:val="00930102"/>
    <w:rsid w:val="009307C9"/>
    <w:rsid w:val="0093086E"/>
    <w:rsid w:val="00931F08"/>
    <w:rsid w:val="00932230"/>
    <w:rsid w:val="0093341D"/>
    <w:rsid w:val="0093344C"/>
    <w:rsid w:val="009338F2"/>
    <w:rsid w:val="00933F3C"/>
    <w:rsid w:val="00934657"/>
    <w:rsid w:val="009370E9"/>
    <w:rsid w:val="00937D9B"/>
    <w:rsid w:val="009406F0"/>
    <w:rsid w:val="00940E65"/>
    <w:rsid w:val="0094115B"/>
    <w:rsid w:val="0094546F"/>
    <w:rsid w:val="009462FE"/>
    <w:rsid w:val="00946653"/>
    <w:rsid w:val="00946B7A"/>
    <w:rsid w:val="00946D94"/>
    <w:rsid w:val="009471BC"/>
    <w:rsid w:val="00947D8F"/>
    <w:rsid w:val="00950AB0"/>
    <w:rsid w:val="00950B68"/>
    <w:rsid w:val="00951BBE"/>
    <w:rsid w:val="0095260A"/>
    <w:rsid w:val="00952AB2"/>
    <w:rsid w:val="00952FEB"/>
    <w:rsid w:val="009535EE"/>
    <w:rsid w:val="00953E75"/>
    <w:rsid w:val="0095490C"/>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233C"/>
    <w:rsid w:val="00972510"/>
    <w:rsid w:val="00973CE3"/>
    <w:rsid w:val="00974581"/>
    <w:rsid w:val="009745EE"/>
    <w:rsid w:val="0097596F"/>
    <w:rsid w:val="00976106"/>
    <w:rsid w:val="00976B54"/>
    <w:rsid w:val="00977578"/>
    <w:rsid w:val="00977BA5"/>
    <w:rsid w:val="009805DC"/>
    <w:rsid w:val="00981000"/>
    <w:rsid w:val="009818E7"/>
    <w:rsid w:val="00981AD6"/>
    <w:rsid w:val="0098226E"/>
    <w:rsid w:val="00982ED9"/>
    <w:rsid w:val="00984D24"/>
    <w:rsid w:val="00984DBA"/>
    <w:rsid w:val="0098621E"/>
    <w:rsid w:val="009868E2"/>
    <w:rsid w:val="00986E87"/>
    <w:rsid w:val="00991124"/>
    <w:rsid w:val="009923B6"/>
    <w:rsid w:val="009926EF"/>
    <w:rsid w:val="009932A9"/>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3E25"/>
    <w:rsid w:val="009C4798"/>
    <w:rsid w:val="009C4A32"/>
    <w:rsid w:val="009C4D10"/>
    <w:rsid w:val="009C5B4F"/>
    <w:rsid w:val="009C5CDD"/>
    <w:rsid w:val="009C67FA"/>
    <w:rsid w:val="009C6906"/>
    <w:rsid w:val="009C72F1"/>
    <w:rsid w:val="009D0C34"/>
    <w:rsid w:val="009D1847"/>
    <w:rsid w:val="009D1954"/>
    <w:rsid w:val="009D3783"/>
    <w:rsid w:val="009D43A7"/>
    <w:rsid w:val="009D5403"/>
    <w:rsid w:val="009D59A5"/>
    <w:rsid w:val="009D7337"/>
    <w:rsid w:val="009D7CB0"/>
    <w:rsid w:val="009E133B"/>
    <w:rsid w:val="009E1E61"/>
    <w:rsid w:val="009E2198"/>
    <w:rsid w:val="009E21B4"/>
    <w:rsid w:val="009E3D96"/>
    <w:rsid w:val="009E40D3"/>
    <w:rsid w:val="009E4263"/>
    <w:rsid w:val="009E49AE"/>
    <w:rsid w:val="009E5C0B"/>
    <w:rsid w:val="009E5F98"/>
    <w:rsid w:val="009E6317"/>
    <w:rsid w:val="009E7C10"/>
    <w:rsid w:val="009F0E50"/>
    <w:rsid w:val="009F3542"/>
    <w:rsid w:val="009F54EA"/>
    <w:rsid w:val="009F56B4"/>
    <w:rsid w:val="009F5822"/>
    <w:rsid w:val="009F676A"/>
    <w:rsid w:val="009F7316"/>
    <w:rsid w:val="00A0104F"/>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12C"/>
    <w:rsid w:val="00A242D8"/>
    <w:rsid w:val="00A24FC1"/>
    <w:rsid w:val="00A25205"/>
    <w:rsid w:val="00A25C17"/>
    <w:rsid w:val="00A26AA0"/>
    <w:rsid w:val="00A301E4"/>
    <w:rsid w:val="00A31198"/>
    <w:rsid w:val="00A323BB"/>
    <w:rsid w:val="00A33284"/>
    <w:rsid w:val="00A34E4A"/>
    <w:rsid w:val="00A36AA7"/>
    <w:rsid w:val="00A40404"/>
    <w:rsid w:val="00A40C29"/>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F71"/>
    <w:rsid w:val="00A55B96"/>
    <w:rsid w:val="00A56BE5"/>
    <w:rsid w:val="00A56DE0"/>
    <w:rsid w:val="00A57E93"/>
    <w:rsid w:val="00A60DA8"/>
    <w:rsid w:val="00A6137C"/>
    <w:rsid w:val="00A615A6"/>
    <w:rsid w:val="00A623D0"/>
    <w:rsid w:val="00A631EB"/>
    <w:rsid w:val="00A654F0"/>
    <w:rsid w:val="00A667B9"/>
    <w:rsid w:val="00A711B3"/>
    <w:rsid w:val="00A71B05"/>
    <w:rsid w:val="00A71C2B"/>
    <w:rsid w:val="00A72975"/>
    <w:rsid w:val="00A72E82"/>
    <w:rsid w:val="00A732E9"/>
    <w:rsid w:val="00A73FF8"/>
    <w:rsid w:val="00A76423"/>
    <w:rsid w:val="00A773D0"/>
    <w:rsid w:val="00A77738"/>
    <w:rsid w:val="00A7786A"/>
    <w:rsid w:val="00A779A2"/>
    <w:rsid w:val="00A80131"/>
    <w:rsid w:val="00A818E6"/>
    <w:rsid w:val="00A81A71"/>
    <w:rsid w:val="00A84C61"/>
    <w:rsid w:val="00A8625C"/>
    <w:rsid w:val="00A86DFE"/>
    <w:rsid w:val="00A870CA"/>
    <w:rsid w:val="00A87442"/>
    <w:rsid w:val="00A8765E"/>
    <w:rsid w:val="00A90D91"/>
    <w:rsid w:val="00A9270F"/>
    <w:rsid w:val="00A93112"/>
    <w:rsid w:val="00A932DE"/>
    <w:rsid w:val="00A9656E"/>
    <w:rsid w:val="00AA186B"/>
    <w:rsid w:val="00AA38F6"/>
    <w:rsid w:val="00AA4965"/>
    <w:rsid w:val="00AA6DDB"/>
    <w:rsid w:val="00AA7692"/>
    <w:rsid w:val="00AB0830"/>
    <w:rsid w:val="00AB2CCC"/>
    <w:rsid w:val="00AB4860"/>
    <w:rsid w:val="00AB4F2C"/>
    <w:rsid w:val="00AB5334"/>
    <w:rsid w:val="00AB64F8"/>
    <w:rsid w:val="00AC192A"/>
    <w:rsid w:val="00AC6ECF"/>
    <w:rsid w:val="00AC7B6B"/>
    <w:rsid w:val="00AD03AA"/>
    <w:rsid w:val="00AD1216"/>
    <w:rsid w:val="00AD1BC7"/>
    <w:rsid w:val="00AD27B3"/>
    <w:rsid w:val="00AD2DC6"/>
    <w:rsid w:val="00AD4477"/>
    <w:rsid w:val="00AD4F51"/>
    <w:rsid w:val="00AD5285"/>
    <w:rsid w:val="00AD54D3"/>
    <w:rsid w:val="00AD70E0"/>
    <w:rsid w:val="00AE0028"/>
    <w:rsid w:val="00AE00FE"/>
    <w:rsid w:val="00AE0451"/>
    <w:rsid w:val="00AE0803"/>
    <w:rsid w:val="00AE0ADB"/>
    <w:rsid w:val="00AE15C2"/>
    <w:rsid w:val="00AE2662"/>
    <w:rsid w:val="00AE3CBD"/>
    <w:rsid w:val="00AE55E7"/>
    <w:rsid w:val="00AE5D21"/>
    <w:rsid w:val="00AE7467"/>
    <w:rsid w:val="00AE7C5F"/>
    <w:rsid w:val="00AF08A8"/>
    <w:rsid w:val="00AF14D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4972"/>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791"/>
    <w:rsid w:val="00B16155"/>
    <w:rsid w:val="00B171FD"/>
    <w:rsid w:val="00B17588"/>
    <w:rsid w:val="00B17FBC"/>
    <w:rsid w:val="00B200F9"/>
    <w:rsid w:val="00B20D58"/>
    <w:rsid w:val="00B22535"/>
    <w:rsid w:val="00B22BFB"/>
    <w:rsid w:val="00B2441D"/>
    <w:rsid w:val="00B24E10"/>
    <w:rsid w:val="00B25E7E"/>
    <w:rsid w:val="00B2670C"/>
    <w:rsid w:val="00B30B23"/>
    <w:rsid w:val="00B310C1"/>
    <w:rsid w:val="00B32231"/>
    <w:rsid w:val="00B356B7"/>
    <w:rsid w:val="00B35E99"/>
    <w:rsid w:val="00B3764F"/>
    <w:rsid w:val="00B37D2C"/>
    <w:rsid w:val="00B41334"/>
    <w:rsid w:val="00B41513"/>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D67"/>
    <w:rsid w:val="00B54876"/>
    <w:rsid w:val="00B56945"/>
    <w:rsid w:val="00B57259"/>
    <w:rsid w:val="00B610C2"/>
    <w:rsid w:val="00B61B6F"/>
    <w:rsid w:val="00B61D29"/>
    <w:rsid w:val="00B62F6C"/>
    <w:rsid w:val="00B634F2"/>
    <w:rsid w:val="00B65F11"/>
    <w:rsid w:val="00B673AC"/>
    <w:rsid w:val="00B6777F"/>
    <w:rsid w:val="00B67DC4"/>
    <w:rsid w:val="00B720BA"/>
    <w:rsid w:val="00B721C9"/>
    <w:rsid w:val="00B733B0"/>
    <w:rsid w:val="00B745B3"/>
    <w:rsid w:val="00B74F7D"/>
    <w:rsid w:val="00B76EAD"/>
    <w:rsid w:val="00B802FC"/>
    <w:rsid w:val="00B8033B"/>
    <w:rsid w:val="00B80E01"/>
    <w:rsid w:val="00B81D1E"/>
    <w:rsid w:val="00B8274A"/>
    <w:rsid w:val="00B8284C"/>
    <w:rsid w:val="00B82E77"/>
    <w:rsid w:val="00B82FEF"/>
    <w:rsid w:val="00B84428"/>
    <w:rsid w:val="00B84909"/>
    <w:rsid w:val="00B85248"/>
    <w:rsid w:val="00B855E0"/>
    <w:rsid w:val="00B87C89"/>
    <w:rsid w:val="00B90D29"/>
    <w:rsid w:val="00B90F5B"/>
    <w:rsid w:val="00B9130E"/>
    <w:rsid w:val="00B91B0A"/>
    <w:rsid w:val="00B93871"/>
    <w:rsid w:val="00B93EA9"/>
    <w:rsid w:val="00B944C1"/>
    <w:rsid w:val="00B9495C"/>
    <w:rsid w:val="00B94A0E"/>
    <w:rsid w:val="00B95827"/>
    <w:rsid w:val="00B95988"/>
    <w:rsid w:val="00B96DAF"/>
    <w:rsid w:val="00BA01DD"/>
    <w:rsid w:val="00BA08E0"/>
    <w:rsid w:val="00BA118E"/>
    <w:rsid w:val="00BA1D39"/>
    <w:rsid w:val="00BA3247"/>
    <w:rsid w:val="00BA3BA1"/>
    <w:rsid w:val="00BA4481"/>
    <w:rsid w:val="00BA4FFC"/>
    <w:rsid w:val="00BA5207"/>
    <w:rsid w:val="00BA556E"/>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64C"/>
    <w:rsid w:val="00BD1613"/>
    <w:rsid w:val="00BD1CA3"/>
    <w:rsid w:val="00BD39B4"/>
    <w:rsid w:val="00BD3AB4"/>
    <w:rsid w:val="00BD5C24"/>
    <w:rsid w:val="00BD6932"/>
    <w:rsid w:val="00BD6D24"/>
    <w:rsid w:val="00BE049B"/>
    <w:rsid w:val="00BE0825"/>
    <w:rsid w:val="00BE13CB"/>
    <w:rsid w:val="00BE1B30"/>
    <w:rsid w:val="00BE1F9E"/>
    <w:rsid w:val="00BE2557"/>
    <w:rsid w:val="00BE2BF8"/>
    <w:rsid w:val="00BE3B1E"/>
    <w:rsid w:val="00BE4453"/>
    <w:rsid w:val="00BE46F4"/>
    <w:rsid w:val="00BE4E6B"/>
    <w:rsid w:val="00BE4F54"/>
    <w:rsid w:val="00BE525E"/>
    <w:rsid w:val="00BE5842"/>
    <w:rsid w:val="00BE5C20"/>
    <w:rsid w:val="00BE5C59"/>
    <w:rsid w:val="00BE6133"/>
    <w:rsid w:val="00BE627E"/>
    <w:rsid w:val="00BE71DD"/>
    <w:rsid w:val="00BF20B8"/>
    <w:rsid w:val="00BF2BCA"/>
    <w:rsid w:val="00BF32A0"/>
    <w:rsid w:val="00BF4357"/>
    <w:rsid w:val="00BF5C7E"/>
    <w:rsid w:val="00BF5CAB"/>
    <w:rsid w:val="00BF6293"/>
    <w:rsid w:val="00BF6E4C"/>
    <w:rsid w:val="00BF71E9"/>
    <w:rsid w:val="00BF71F1"/>
    <w:rsid w:val="00BF76DF"/>
    <w:rsid w:val="00BF7CB5"/>
    <w:rsid w:val="00C000DA"/>
    <w:rsid w:val="00C003DC"/>
    <w:rsid w:val="00C01031"/>
    <w:rsid w:val="00C01384"/>
    <w:rsid w:val="00C01AF9"/>
    <w:rsid w:val="00C0274C"/>
    <w:rsid w:val="00C02F33"/>
    <w:rsid w:val="00C03DF0"/>
    <w:rsid w:val="00C1090B"/>
    <w:rsid w:val="00C10DD0"/>
    <w:rsid w:val="00C13017"/>
    <w:rsid w:val="00C13FBE"/>
    <w:rsid w:val="00C141CA"/>
    <w:rsid w:val="00C149A3"/>
    <w:rsid w:val="00C1601E"/>
    <w:rsid w:val="00C16467"/>
    <w:rsid w:val="00C16C64"/>
    <w:rsid w:val="00C173CD"/>
    <w:rsid w:val="00C20109"/>
    <w:rsid w:val="00C20FC8"/>
    <w:rsid w:val="00C21997"/>
    <w:rsid w:val="00C227D5"/>
    <w:rsid w:val="00C228DF"/>
    <w:rsid w:val="00C2454C"/>
    <w:rsid w:val="00C25F98"/>
    <w:rsid w:val="00C26867"/>
    <w:rsid w:val="00C27879"/>
    <w:rsid w:val="00C30240"/>
    <w:rsid w:val="00C3135C"/>
    <w:rsid w:val="00C3244D"/>
    <w:rsid w:val="00C33102"/>
    <w:rsid w:val="00C3337E"/>
    <w:rsid w:val="00C33B77"/>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3E8"/>
    <w:rsid w:val="00C45B16"/>
    <w:rsid w:val="00C4670C"/>
    <w:rsid w:val="00C46FCF"/>
    <w:rsid w:val="00C4753A"/>
    <w:rsid w:val="00C512D5"/>
    <w:rsid w:val="00C51B29"/>
    <w:rsid w:val="00C5205E"/>
    <w:rsid w:val="00C522AB"/>
    <w:rsid w:val="00C5470D"/>
    <w:rsid w:val="00C55D72"/>
    <w:rsid w:val="00C56D45"/>
    <w:rsid w:val="00C57511"/>
    <w:rsid w:val="00C6146F"/>
    <w:rsid w:val="00C62AF0"/>
    <w:rsid w:val="00C6316B"/>
    <w:rsid w:val="00C636BA"/>
    <w:rsid w:val="00C63A43"/>
    <w:rsid w:val="00C648D8"/>
    <w:rsid w:val="00C65DA8"/>
    <w:rsid w:val="00C6611F"/>
    <w:rsid w:val="00C6612A"/>
    <w:rsid w:val="00C6668B"/>
    <w:rsid w:val="00C666FB"/>
    <w:rsid w:val="00C66EE0"/>
    <w:rsid w:val="00C671B1"/>
    <w:rsid w:val="00C6780B"/>
    <w:rsid w:val="00C679ED"/>
    <w:rsid w:val="00C6D1CB"/>
    <w:rsid w:val="00C700B7"/>
    <w:rsid w:val="00C703FF"/>
    <w:rsid w:val="00C70434"/>
    <w:rsid w:val="00C71045"/>
    <w:rsid w:val="00C711D3"/>
    <w:rsid w:val="00C72EC1"/>
    <w:rsid w:val="00C72FA9"/>
    <w:rsid w:val="00C73FAD"/>
    <w:rsid w:val="00C74636"/>
    <w:rsid w:val="00C74D69"/>
    <w:rsid w:val="00C74E32"/>
    <w:rsid w:val="00C75536"/>
    <w:rsid w:val="00C758F8"/>
    <w:rsid w:val="00C76B74"/>
    <w:rsid w:val="00C81DE5"/>
    <w:rsid w:val="00C82860"/>
    <w:rsid w:val="00C837C9"/>
    <w:rsid w:val="00C8396C"/>
    <w:rsid w:val="00C84F1D"/>
    <w:rsid w:val="00C85DD9"/>
    <w:rsid w:val="00C85F5A"/>
    <w:rsid w:val="00C8618D"/>
    <w:rsid w:val="00C86ADF"/>
    <w:rsid w:val="00C870C0"/>
    <w:rsid w:val="00C9106F"/>
    <w:rsid w:val="00C93AD3"/>
    <w:rsid w:val="00C93F42"/>
    <w:rsid w:val="00C9418B"/>
    <w:rsid w:val="00C95D67"/>
    <w:rsid w:val="00C966D9"/>
    <w:rsid w:val="00C97222"/>
    <w:rsid w:val="00CA0DAE"/>
    <w:rsid w:val="00CA0E49"/>
    <w:rsid w:val="00CA1535"/>
    <w:rsid w:val="00CA2F15"/>
    <w:rsid w:val="00CA5087"/>
    <w:rsid w:val="00CA58EE"/>
    <w:rsid w:val="00CA6AB3"/>
    <w:rsid w:val="00CA7EEF"/>
    <w:rsid w:val="00CB1649"/>
    <w:rsid w:val="00CB179D"/>
    <w:rsid w:val="00CB2F42"/>
    <w:rsid w:val="00CB3E5E"/>
    <w:rsid w:val="00CB4EBD"/>
    <w:rsid w:val="00CB6338"/>
    <w:rsid w:val="00CB7690"/>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385"/>
    <w:rsid w:val="00CE3EF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120"/>
    <w:rsid w:val="00D004AD"/>
    <w:rsid w:val="00D01B92"/>
    <w:rsid w:val="00D02935"/>
    <w:rsid w:val="00D02C80"/>
    <w:rsid w:val="00D02FA1"/>
    <w:rsid w:val="00D03A0F"/>
    <w:rsid w:val="00D056E9"/>
    <w:rsid w:val="00D062CC"/>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F5E"/>
    <w:rsid w:val="00D23119"/>
    <w:rsid w:val="00D241D4"/>
    <w:rsid w:val="00D24A69"/>
    <w:rsid w:val="00D25520"/>
    <w:rsid w:val="00D256E7"/>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D3C"/>
    <w:rsid w:val="00D510DA"/>
    <w:rsid w:val="00D51F7D"/>
    <w:rsid w:val="00D53F8D"/>
    <w:rsid w:val="00D547E6"/>
    <w:rsid w:val="00D56EA7"/>
    <w:rsid w:val="00D57AD5"/>
    <w:rsid w:val="00D6003F"/>
    <w:rsid w:val="00D60275"/>
    <w:rsid w:val="00D637B2"/>
    <w:rsid w:val="00D6386F"/>
    <w:rsid w:val="00D66DDD"/>
    <w:rsid w:val="00D66F37"/>
    <w:rsid w:val="00D67BA7"/>
    <w:rsid w:val="00D67D81"/>
    <w:rsid w:val="00D67EB7"/>
    <w:rsid w:val="00D70367"/>
    <w:rsid w:val="00D72A68"/>
    <w:rsid w:val="00D7554F"/>
    <w:rsid w:val="00D765DD"/>
    <w:rsid w:val="00D76854"/>
    <w:rsid w:val="00D76FCF"/>
    <w:rsid w:val="00D80C46"/>
    <w:rsid w:val="00D818DF"/>
    <w:rsid w:val="00D825A8"/>
    <w:rsid w:val="00D83201"/>
    <w:rsid w:val="00D8337E"/>
    <w:rsid w:val="00D8345D"/>
    <w:rsid w:val="00D848CA"/>
    <w:rsid w:val="00D87124"/>
    <w:rsid w:val="00D87651"/>
    <w:rsid w:val="00D90841"/>
    <w:rsid w:val="00D9109A"/>
    <w:rsid w:val="00D91F15"/>
    <w:rsid w:val="00D93138"/>
    <w:rsid w:val="00D93C78"/>
    <w:rsid w:val="00D94180"/>
    <w:rsid w:val="00D9431B"/>
    <w:rsid w:val="00D95B33"/>
    <w:rsid w:val="00D964E4"/>
    <w:rsid w:val="00D97224"/>
    <w:rsid w:val="00D978E4"/>
    <w:rsid w:val="00DA04C5"/>
    <w:rsid w:val="00DA0910"/>
    <w:rsid w:val="00DA0BBF"/>
    <w:rsid w:val="00DA1743"/>
    <w:rsid w:val="00DA1E8C"/>
    <w:rsid w:val="00DA2273"/>
    <w:rsid w:val="00DA3B49"/>
    <w:rsid w:val="00DA416F"/>
    <w:rsid w:val="00DA420C"/>
    <w:rsid w:val="00DA63F5"/>
    <w:rsid w:val="00DA6966"/>
    <w:rsid w:val="00DA6F09"/>
    <w:rsid w:val="00DA7A9F"/>
    <w:rsid w:val="00DB02EB"/>
    <w:rsid w:val="00DB1960"/>
    <w:rsid w:val="00DB1E72"/>
    <w:rsid w:val="00DB2C4B"/>
    <w:rsid w:val="00DB2CAA"/>
    <w:rsid w:val="00DB4C6F"/>
    <w:rsid w:val="00DB61E7"/>
    <w:rsid w:val="00DB6C3C"/>
    <w:rsid w:val="00DB7918"/>
    <w:rsid w:val="00DC18A5"/>
    <w:rsid w:val="00DC1D8C"/>
    <w:rsid w:val="00DC231D"/>
    <w:rsid w:val="00DC2FF0"/>
    <w:rsid w:val="00DC31BF"/>
    <w:rsid w:val="00DC33EF"/>
    <w:rsid w:val="00DC4911"/>
    <w:rsid w:val="00DC51D5"/>
    <w:rsid w:val="00DC7CFF"/>
    <w:rsid w:val="00DC7EFD"/>
    <w:rsid w:val="00DD090B"/>
    <w:rsid w:val="00DD15AE"/>
    <w:rsid w:val="00DD238B"/>
    <w:rsid w:val="00DD292A"/>
    <w:rsid w:val="00DD3144"/>
    <w:rsid w:val="00DD35ED"/>
    <w:rsid w:val="00DD3B33"/>
    <w:rsid w:val="00DD4AEB"/>
    <w:rsid w:val="00DD694D"/>
    <w:rsid w:val="00DD72BD"/>
    <w:rsid w:val="00DD761B"/>
    <w:rsid w:val="00DE0079"/>
    <w:rsid w:val="00DE0517"/>
    <w:rsid w:val="00DE11DA"/>
    <w:rsid w:val="00DE1C39"/>
    <w:rsid w:val="00DE3DC0"/>
    <w:rsid w:val="00DE78F0"/>
    <w:rsid w:val="00DE7F21"/>
    <w:rsid w:val="00DF001D"/>
    <w:rsid w:val="00DF0A63"/>
    <w:rsid w:val="00DF1149"/>
    <w:rsid w:val="00DF1BF5"/>
    <w:rsid w:val="00DF2285"/>
    <w:rsid w:val="00DF334A"/>
    <w:rsid w:val="00DF3F6F"/>
    <w:rsid w:val="00DF4489"/>
    <w:rsid w:val="00DF50B5"/>
    <w:rsid w:val="00DF6212"/>
    <w:rsid w:val="00DF6BF3"/>
    <w:rsid w:val="00DF6C42"/>
    <w:rsid w:val="00DF7242"/>
    <w:rsid w:val="00DF7DE6"/>
    <w:rsid w:val="00E020A8"/>
    <w:rsid w:val="00E02101"/>
    <w:rsid w:val="00E03122"/>
    <w:rsid w:val="00E03A10"/>
    <w:rsid w:val="00E03B42"/>
    <w:rsid w:val="00E03F7B"/>
    <w:rsid w:val="00E03F87"/>
    <w:rsid w:val="00E04C04"/>
    <w:rsid w:val="00E054E4"/>
    <w:rsid w:val="00E07C8F"/>
    <w:rsid w:val="00E10A3F"/>
    <w:rsid w:val="00E11F06"/>
    <w:rsid w:val="00E121D3"/>
    <w:rsid w:val="00E122B2"/>
    <w:rsid w:val="00E12745"/>
    <w:rsid w:val="00E12B4B"/>
    <w:rsid w:val="00E139A9"/>
    <w:rsid w:val="00E15420"/>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32D"/>
    <w:rsid w:val="00E25EAF"/>
    <w:rsid w:val="00E26760"/>
    <w:rsid w:val="00E321EB"/>
    <w:rsid w:val="00E32892"/>
    <w:rsid w:val="00E330BA"/>
    <w:rsid w:val="00E342B5"/>
    <w:rsid w:val="00E34DED"/>
    <w:rsid w:val="00E368E8"/>
    <w:rsid w:val="00E36D6E"/>
    <w:rsid w:val="00E37C8B"/>
    <w:rsid w:val="00E37ECE"/>
    <w:rsid w:val="00E405B9"/>
    <w:rsid w:val="00E40A4C"/>
    <w:rsid w:val="00E41941"/>
    <w:rsid w:val="00E425D4"/>
    <w:rsid w:val="00E43229"/>
    <w:rsid w:val="00E454C9"/>
    <w:rsid w:val="00E50761"/>
    <w:rsid w:val="00E509D9"/>
    <w:rsid w:val="00E50B13"/>
    <w:rsid w:val="00E51B16"/>
    <w:rsid w:val="00E554A3"/>
    <w:rsid w:val="00E55E0F"/>
    <w:rsid w:val="00E565E9"/>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43B"/>
    <w:rsid w:val="00E67A04"/>
    <w:rsid w:val="00E70A6A"/>
    <w:rsid w:val="00E71E7C"/>
    <w:rsid w:val="00E722BF"/>
    <w:rsid w:val="00E727D2"/>
    <w:rsid w:val="00E72D41"/>
    <w:rsid w:val="00E73270"/>
    <w:rsid w:val="00E7355A"/>
    <w:rsid w:val="00E73659"/>
    <w:rsid w:val="00E73663"/>
    <w:rsid w:val="00E738CA"/>
    <w:rsid w:val="00E7486E"/>
    <w:rsid w:val="00E75E25"/>
    <w:rsid w:val="00E76F8F"/>
    <w:rsid w:val="00E81727"/>
    <w:rsid w:val="00E8221C"/>
    <w:rsid w:val="00E83D9D"/>
    <w:rsid w:val="00E83E48"/>
    <w:rsid w:val="00E85E70"/>
    <w:rsid w:val="00E86AFB"/>
    <w:rsid w:val="00E86E3F"/>
    <w:rsid w:val="00E87F57"/>
    <w:rsid w:val="00E911ED"/>
    <w:rsid w:val="00E91BCF"/>
    <w:rsid w:val="00E9266B"/>
    <w:rsid w:val="00E929F9"/>
    <w:rsid w:val="00E93807"/>
    <w:rsid w:val="00E93E7D"/>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3D3"/>
    <w:rsid w:val="00EB2081"/>
    <w:rsid w:val="00EB26B8"/>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847"/>
    <w:rsid w:val="00EE23B3"/>
    <w:rsid w:val="00EE4D53"/>
    <w:rsid w:val="00EE5475"/>
    <w:rsid w:val="00EE7415"/>
    <w:rsid w:val="00EF0934"/>
    <w:rsid w:val="00EF1A36"/>
    <w:rsid w:val="00EF1E9F"/>
    <w:rsid w:val="00EF277D"/>
    <w:rsid w:val="00EF350D"/>
    <w:rsid w:val="00EF3ADA"/>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5C7"/>
    <w:rsid w:val="00F13A6D"/>
    <w:rsid w:val="00F1479C"/>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107"/>
    <w:rsid w:val="00F3642C"/>
    <w:rsid w:val="00F3654A"/>
    <w:rsid w:val="00F36C5B"/>
    <w:rsid w:val="00F408F6"/>
    <w:rsid w:val="00F40E78"/>
    <w:rsid w:val="00F41680"/>
    <w:rsid w:val="00F41EE0"/>
    <w:rsid w:val="00F42C39"/>
    <w:rsid w:val="00F47C17"/>
    <w:rsid w:val="00F511CC"/>
    <w:rsid w:val="00F51240"/>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D21"/>
    <w:rsid w:val="00F704D9"/>
    <w:rsid w:val="00F70A0D"/>
    <w:rsid w:val="00F727A8"/>
    <w:rsid w:val="00F74037"/>
    <w:rsid w:val="00F7455B"/>
    <w:rsid w:val="00F746AC"/>
    <w:rsid w:val="00F74B9D"/>
    <w:rsid w:val="00F75058"/>
    <w:rsid w:val="00F75726"/>
    <w:rsid w:val="00F7660F"/>
    <w:rsid w:val="00F768AD"/>
    <w:rsid w:val="00F76B75"/>
    <w:rsid w:val="00F774EE"/>
    <w:rsid w:val="00F77EB8"/>
    <w:rsid w:val="00F8077E"/>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481"/>
    <w:rsid w:val="00FA4B8D"/>
    <w:rsid w:val="00FA5795"/>
    <w:rsid w:val="00FA6DED"/>
    <w:rsid w:val="00FA76DF"/>
    <w:rsid w:val="00FA78EA"/>
    <w:rsid w:val="00FB246B"/>
    <w:rsid w:val="00FB2CB2"/>
    <w:rsid w:val="00FB5A70"/>
    <w:rsid w:val="00FC0689"/>
    <w:rsid w:val="00FC13F0"/>
    <w:rsid w:val="00FC337B"/>
    <w:rsid w:val="00FC5AA7"/>
    <w:rsid w:val="00FC6E48"/>
    <w:rsid w:val="00FC787B"/>
    <w:rsid w:val="00FD3587"/>
    <w:rsid w:val="00FD42FF"/>
    <w:rsid w:val="00FD4B6C"/>
    <w:rsid w:val="00FD5104"/>
    <w:rsid w:val="00FD5199"/>
    <w:rsid w:val="00FE081A"/>
    <w:rsid w:val="00FE0E9B"/>
    <w:rsid w:val="00FE0EA5"/>
    <w:rsid w:val="00FE1FDD"/>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721"/>
    <w:rsid w:val="00FF3644"/>
    <w:rsid w:val="00FF3921"/>
    <w:rsid w:val="00FF533E"/>
    <w:rsid w:val="00FF5D53"/>
    <w:rsid w:val="00FF6CB8"/>
    <w:rsid w:val="00FF6E82"/>
    <w:rsid w:val="00FF6EAA"/>
    <w:rsid w:val="00FF7131"/>
    <w:rsid w:val="00FF71DE"/>
    <w:rsid w:val="00FF77CB"/>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6A8715"/>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7F38A"/>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516881"/>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CF52AA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50F2"/>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856751">
      <w:bodyDiv w:val="1"/>
      <w:marLeft w:val="0"/>
      <w:marRight w:val="0"/>
      <w:marTop w:val="0"/>
      <w:marBottom w:val="0"/>
      <w:divBdr>
        <w:top w:val="none" w:sz="0" w:space="0" w:color="auto"/>
        <w:left w:val="none" w:sz="0" w:space="0" w:color="auto"/>
        <w:bottom w:val="none" w:sz="0" w:space="0" w:color="auto"/>
        <w:right w:val="none" w:sz="0" w:space="0" w:color="auto"/>
      </w:divBdr>
      <w:divsChild>
        <w:div w:id="1906792158">
          <w:marLeft w:val="0"/>
          <w:marRight w:val="0"/>
          <w:marTop w:val="0"/>
          <w:marBottom w:val="0"/>
          <w:divBdr>
            <w:top w:val="none" w:sz="0" w:space="0" w:color="auto"/>
            <w:left w:val="none" w:sz="0" w:space="0" w:color="auto"/>
            <w:bottom w:val="none" w:sz="0" w:space="0" w:color="auto"/>
            <w:right w:val="none" w:sz="0" w:space="0" w:color="auto"/>
          </w:divBdr>
        </w:div>
      </w:divsChild>
    </w:div>
    <w:div w:id="71388695">
      <w:bodyDiv w:val="1"/>
      <w:marLeft w:val="0"/>
      <w:marRight w:val="0"/>
      <w:marTop w:val="0"/>
      <w:marBottom w:val="0"/>
      <w:divBdr>
        <w:top w:val="none" w:sz="0" w:space="0" w:color="auto"/>
        <w:left w:val="none" w:sz="0" w:space="0" w:color="auto"/>
        <w:bottom w:val="none" w:sz="0" w:space="0" w:color="auto"/>
        <w:right w:val="none" w:sz="0" w:space="0" w:color="auto"/>
      </w:divBdr>
    </w:div>
    <w:div w:id="103308805">
      <w:bodyDiv w:val="1"/>
      <w:marLeft w:val="0"/>
      <w:marRight w:val="0"/>
      <w:marTop w:val="0"/>
      <w:marBottom w:val="0"/>
      <w:divBdr>
        <w:top w:val="none" w:sz="0" w:space="0" w:color="auto"/>
        <w:left w:val="none" w:sz="0" w:space="0" w:color="auto"/>
        <w:bottom w:val="none" w:sz="0" w:space="0" w:color="auto"/>
        <w:right w:val="none" w:sz="0" w:space="0" w:color="auto"/>
      </w:divBdr>
    </w:div>
    <w:div w:id="175506175">
      <w:bodyDiv w:val="1"/>
      <w:marLeft w:val="0"/>
      <w:marRight w:val="0"/>
      <w:marTop w:val="0"/>
      <w:marBottom w:val="0"/>
      <w:divBdr>
        <w:top w:val="none" w:sz="0" w:space="0" w:color="auto"/>
        <w:left w:val="none" w:sz="0" w:space="0" w:color="auto"/>
        <w:bottom w:val="none" w:sz="0" w:space="0" w:color="auto"/>
        <w:right w:val="none" w:sz="0" w:space="0" w:color="auto"/>
      </w:divBdr>
      <w:divsChild>
        <w:div w:id="8989750">
          <w:marLeft w:val="0"/>
          <w:marRight w:val="0"/>
          <w:marTop w:val="0"/>
          <w:marBottom w:val="0"/>
          <w:divBdr>
            <w:top w:val="none" w:sz="0" w:space="0" w:color="auto"/>
            <w:left w:val="none" w:sz="0" w:space="0" w:color="auto"/>
            <w:bottom w:val="none" w:sz="0" w:space="0" w:color="auto"/>
            <w:right w:val="none" w:sz="0" w:space="0" w:color="auto"/>
          </w:divBdr>
        </w:div>
        <w:div w:id="412822665">
          <w:marLeft w:val="0"/>
          <w:marRight w:val="0"/>
          <w:marTop w:val="0"/>
          <w:marBottom w:val="0"/>
          <w:divBdr>
            <w:top w:val="none" w:sz="0" w:space="0" w:color="auto"/>
            <w:left w:val="none" w:sz="0" w:space="0" w:color="auto"/>
            <w:bottom w:val="none" w:sz="0" w:space="0" w:color="auto"/>
            <w:right w:val="none" w:sz="0" w:space="0" w:color="auto"/>
          </w:divBdr>
        </w:div>
        <w:div w:id="389497194">
          <w:marLeft w:val="0"/>
          <w:marRight w:val="0"/>
          <w:marTop w:val="0"/>
          <w:marBottom w:val="0"/>
          <w:divBdr>
            <w:top w:val="none" w:sz="0" w:space="0" w:color="auto"/>
            <w:left w:val="none" w:sz="0" w:space="0" w:color="auto"/>
            <w:bottom w:val="none" w:sz="0" w:space="0" w:color="auto"/>
            <w:right w:val="none" w:sz="0" w:space="0" w:color="auto"/>
          </w:divBdr>
        </w:div>
        <w:div w:id="742331934">
          <w:marLeft w:val="0"/>
          <w:marRight w:val="0"/>
          <w:marTop w:val="0"/>
          <w:marBottom w:val="0"/>
          <w:divBdr>
            <w:top w:val="none" w:sz="0" w:space="0" w:color="auto"/>
            <w:left w:val="none" w:sz="0" w:space="0" w:color="auto"/>
            <w:bottom w:val="none" w:sz="0" w:space="0" w:color="auto"/>
            <w:right w:val="none" w:sz="0" w:space="0" w:color="auto"/>
          </w:divBdr>
        </w:div>
        <w:div w:id="308756377">
          <w:marLeft w:val="0"/>
          <w:marRight w:val="0"/>
          <w:marTop w:val="0"/>
          <w:marBottom w:val="0"/>
          <w:divBdr>
            <w:top w:val="none" w:sz="0" w:space="0" w:color="auto"/>
            <w:left w:val="none" w:sz="0" w:space="0" w:color="auto"/>
            <w:bottom w:val="none" w:sz="0" w:space="0" w:color="auto"/>
            <w:right w:val="none" w:sz="0" w:space="0" w:color="auto"/>
          </w:divBdr>
        </w:div>
        <w:div w:id="2021814084">
          <w:marLeft w:val="0"/>
          <w:marRight w:val="0"/>
          <w:marTop w:val="0"/>
          <w:marBottom w:val="0"/>
          <w:divBdr>
            <w:top w:val="none" w:sz="0" w:space="0" w:color="auto"/>
            <w:left w:val="none" w:sz="0" w:space="0" w:color="auto"/>
            <w:bottom w:val="none" w:sz="0" w:space="0" w:color="auto"/>
            <w:right w:val="none" w:sz="0" w:space="0" w:color="auto"/>
          </w:divBdr>
        </w:div>
        <w:div w:id="714428600">
          <w:marLeft w:val="0"/>
          <w:marRight w:val="0"/>
          <w:marTop w:val="0"/>
          <w:marBottom w:val="0"/>
          <w:divBdr>
            <w:top w:val="none" w:sz="0" w:space="0" w:color="auto"/>
            <w:left w:val="none" w:sz="0" w:space="0" w:color="auto"/>
            <w:bottom w:val="none" w:sz="0" w:space="0" w:color="auto"/>
            <w:right w:val="none" w:sz="0" w:space="0" w:color="auto"/>
          </w:divBdr>
        </w:div>
        <w:div w:id="961419437">
          <w:marLeft w:val="0"/>
          <w:marRight w:val="0"/>
          <w:marTop w:val="0"/>
          <w:marBottom w:val="0"/>
          <w:divBdr>
            <w:top w:val="none" w:sz="0" w:space="0" w:color="auto"/>
            <w:left w:val="none" w:sz="0" w:space="0" w:color="auto"/>
            <w:bottom w:val="none" w:sz="0" w:space="0" w:color="auto"/>
            <w:right w:val="none" w:sz="0" w:space="0" w:color="auto"/>
          </w:divBdr>
        </w:div>
        <w:div w:id="872233075">
          <w:marLeft w:val="0"/>
          <w:marRight w:val="0"/>
          <w:marTop w:val="0"/>
          <w:marBottom w:val="0"/>
          <w:divBdr>
            <w:top w:val="none" w:sz="0" w:space="0" w:color="auto"/>
            <w:left w:val="none" w:sz="0" w:space="0" w:color="auto"/>
            <w:bottom w:val="none" w:sz="0" w:space="0" w:color="auto"/>
            <w:right w:val="none" w:sz="0" w:space="0" w:color="auto"/>
          </w:divBdr>
        </w:div>
        <w:div w:id="815225062">
          <w:marLeft w:val="0"/>
          <w:marRight w:val="0"/>
          <w:marTop w:val="0"/>
          <w:marBottom w:val="0"/>
          <w:divBdr>
            <w:top w:val="none" w:sz="0" w:space="0" w:color="auto"/>
            <w:left w:val="none" w:sz="0" w:space="0" w:color="auto"/>
            <w:bottom w:val="none" w:sz="0" w:space="0" w:color="auto"/>
            <w:right w:val="none" w:sz="0" w:space="0" w:color="auto"/>
          </w:divBdr>
        </w:div>
        <w:div w:id="42606204">
          <w:marLeft w:val="0"/>
          <w:marRight w:val="0"/>
          <w:marTop w:val="0"/>
          <w:marBottom w:val="0"/>
          <w:divBdr>
            <w:top w:val="none" w:sz="0" w:space="0" w:color="auto"/>
            <w:left w:val="none" w:sz="0" w:space="0" w:color="auto"/>
            <w:bottom w:val="none" w:sz="0" w:space="0" w:color="auto"/>
            <w:right w:val="none" w:sz="0" w:space="0" w:color="auto"/>
          </w:divBdr>
        </w:div>
        <w:div w:id="332101330">
          <w:marLeft w:val="0"/>
          <w:marRight w:val="0"/>
          <w:marTop w:val="0"/>
          <w:marBottom w:val="0"/>
          <w:divBdr>
            <w:top w:val="none" w:sz="0" w:space="0" w:color="auto"/>
            <w:left w:val="none" w:sz="0" w:space="0" w:color="auto"/>
            <w:bottom w:val="none" w:sz="0" w:space="0" w:color="auto"/>
            <w:right w:val="none" w:sz="0" w:space="0" w:color="auto"/>
          </w:divBdr>
        </w:div>
        <w:div w:id="242489379">
          <w:marLeft w:val="0"/>
          <w:marRight w:val="0"/>
          <w:marTop w:val="0"/>
          <w:marBottom w:val="0"/>
          <w:divBdr>
            <w:top w:val="none" w:sz="0" w:space="0" w:color="auto"/>
            <w:left w:val="none" w:sz="0" w:space="0" w:color="auto"/>
            <w:bottom w:val="none" w:sz="0" w:space="0" w:color="auto"/>
            <w:right w:val="none" w:sz="0" w:space="0" w:color="auto"/>
          </w:divBdr>
        </w:div>
        <w:div w:id="6911297">
          <w:marLeft w:val="0"/>
          <w:marRight w:val="0"/>
          <w:marTop w:val="0"/>
          <w:marBottom w:val="0"/>
          <w:divBdr>
            <w:top w:val="none" w:sz="0" w:space="0" w:color="auto"/>
            <w:left w:val="none" w:sz="0" w:space="0" w:color="auto"/>
            <w:bottom w:val="none" w:sz="0" w:space="0" w:color="auto"/>
            <w:right w:val="none" w:sz="0" w:space="0" w:color="auto"/>
          </w:divBdr>
        </w:div>
        <w:div w:id="1493138896">
          <w:marLeft w:val="0"/>
          <w:marRight w:val="0"/>
          <w:marTop w:val="0"/>
          <w:marBottom w:val="0"/>
          <w:divBdr>
            <w:top w:val="none" w:sz="0" w:space="0" w:color="auto"/>
            <w:left w:val="none" w:sz="0" w:space="0" w:color="auto"/>
            <w:bottom w:val="none" w:sz="0" w:space="0" w:color="auto"/>
            <w:right w:val="none" w:sz="0" w:space="0" w:color="auto"/>
          </w:divBdr>
        </w:div>
        <w:div w:id="1020206992">
          <w:marLeft w:val="0"/>
          <w:marRight w:val="0"/>
          <w:marTop w:val="0"/>
          <w:marBottom w:val="0"/>
          <w:divBdr>
            <w:top w:val="none" w:sz="0" w:space="0" w:color="auto"/>
            <w:left w:val="none" w:sz="0" w:space="0" w:color="auto"/>
            <w:bottom w:val="none" w:sz="0" w:space="0" w:color="auto"/>
            <w:right w:val="none" w:sz="0" w:space="0" w:color="auto"/>
          </w:divBdr>
        </w:div>
        <w:div w:id="1608271545">
          <w:marLeft w:val="0"/>
          <w:marRight w:val="0"/>
          <w:marTop w:val="0"/>
          <w:marBottom w:val="0"/>
          <w:divBdr>
            <w:top w:val="none" w:sz="0" w:space="0" w:color="auto"/>
            <w:left w:val="none" w:sz="0" w:space="0" w:color="auto"/>
            <w:bottom w:val="none" w:sz="0" w:space="0" w:color="auto"/>
            <w:right w:val="none" w:sz="0" w:space="0" w:color="auto"/>
          </w:divBdr>
        </w:div>
        <w:div w:id="844131983">
          <w:marLeft w:val="0"/>
          <w:marRight w:val="0"/>
          <w:marTop w:val="0"/>
          <w:marBottom w:val="0"/>
          <w:divBdr>
            <w:top w:val="none" w:sz="0" w:space="0" w:color="auto"/>
            <w:left w:val="none" w:sz="0" w:space="0" w:color="auto"/>
            <w:bottom w:val="none" w:sz="0" w:space="0" w:color="auto"/>
            <w:right w:val="none" w:sz="0" w:space="0" w:color="auto"/>
          </w:divBdr>
        </w:div>
        <w:div w:id="2131389723">
          <w:marLeft w:val="0"/>
          <w:marRight w:val="0"/>
          <w:marTop w:val="0"/>
          <w:marBottom w:val="0"/>
          <w:divBdr>
            <w:top w:val="none" w:sz="0" w:space="0" w:color="auto"/>
            <w:left w:val="none" w:sz="0" w:space="0" w:color="auto"/>
            <w:bottom w:val="none" w:sz="0" w:space="0" w:color="auto"/>
            <w:right w:val="none" w:sz="0" w:space="0" w:color="auto"/>
          </w:divBdr>
        </w:div>
        <w:div w:id="1615090912">
          <w:marLeft w:val="0"/>
          <w:marRight w:val="0"/>
          <w:marTop w:val="0"/>
          <w:marBottom w:val="0"/>
          <w:divBdr>
            <w:top w:val="none" w:sz="0" w:space="0" w:color="auto"/>
            <w:left w:val="none" w:sz="0" w:space="0" w:color="auto"/>
            <w:bottom w:val="none" w:sz="0" w:space="0" w:color="auto"/>
            <w:right w:val="none" w:sz="0" w:space="0" w:color="auto"/>
          </w:divBdr>
        </w:div>
        <w:div w:id="751895730">
          <w:marLeft w:val="0"/>
          <w:marRight w:val="0"/>
          <w:marTop w:val="0"/>
          <w:marBottom w:val="0"/>
          <w:divBdr>
            <w:top w:val="none" w:sz="0" w:space="0" w:color="auto"/>
            <w:left w:val="none" w:sz="0" w:space="0" w:color="auto"/>
            <w:bottom w:val="none" w:sz="0" w:space="0" w:color="auto"/>
            <w:right w:val="none" w:sz="0" w:space="0" w:color="auto"/>
          </w:divBdr>
        </w:div>
        <w:div w:id="558127031">
          <w:marLeft w:val="0"/>
          <w:marRight w:val="0"/>
          <w:marTop w:val="0"/>
          <w:marBottom w:val="0"/>
          <w:divBdr>
            <w:top w:val="none" w:sz="0" w:space="0" w:color="auto"/>
            <w:left w:val="none" w:sz="0" w:space="0" w:color="auto"/>
            <w:bottom w:val="none" w:sz="0" w:space="0" w:color="auto"/>
            <w:right w:val="none" w:sz="0" w:space="0" w:color="auto"/>
          </w:divBdr>
        </w:div>
        <w:div w:id="919756029">
          <w:marLeft w:val="0"/>
          <w:marRight w:val="0"/>
          <w:marTop w:val="0"/>
          <w:marBottom w:val="0"/>
          <w:divBdr>
            <w:top w:val="none" w:sz="0" w:space="0" w:color="auto"/>
            <w:left w:val="none" w:sz="0" w:space="0" w:color="auto"/>
            <w:bottom w:val="none" w:sz="0" w:space="0" w:color="auto"/>
            <w:right w:val="none" w:sz="0" w:space="0" w:color="auto"/>
          </w:divBdr>
        </w:div>
        <w:div w:id="40131880">
          <w:marLeft w:val="0"/>
          <w:marRight w:val="0"/>
          <w:marTop w:val="0"/>
          <w:marBottom w:val="0"/>
          <w:divBdr>
            <w:top w:val="none" w:sz="0" w:space="0" w:color="auto"/>
            <w:left w:val="none" w:sz="0" w:space="0" w:color="auto"/>
            <w:bottom w:val="none" w:sz="0" w:space="0" w:color="auto"/>
            <w:right w:val="none" w:sz="0" w:space="0" w:color="auto"/>
          </w:divBdr>
        </w:div>
        <w:div w:id="1696924293">
          <w:marLeft w:val="0"/>
          <w:marRight w:val="0"/>
          <w:marTop w:val="0"/>
          <w:marBottom w:val="0"/>
          <w:divBdr>
            <w:top w:val="none" w:sz="0" w:space="0" w:color="auto"/>
            <w:left w:val="none" w:sz="0" w:space="0" w:color="auto"/>
            <w:bottom w:val="none" w:sz="0" w:space="0" w:color="auto"/>
            <w:right w:val="none" w:sz="0" w:space="0" w:color="auto"/>
          </w:divBdr>
        </w:div>
        <w:div w:id="897864914">
          <w:marLeft w:val="0"/>
          <w:marRight w:val="0"/>
          <w:marTop w:val="0"/>
          <w:marBottom w:val="0"/>
          <w:divBdr>
            <w:top w:val="none" w:sz="0" w:space="0" w:color="auto"/>
            <w:left w:val="none" w:sz="0" w:space="0" w:color="auto"/>
            <w:bottom w:val="none" w:sz="0" w:space="0" w:color="auto"/>
            <w:right w:val="none" w:sz="0" w:space="0" w:color="auto"/>
          </w:divBdr>
        </w:div>
        <w:div w:id="260264651">
          <w:marLeft w:val="0"/>
          <w:marRight w:val="0"/>
          <w:marTop w:val="0"/>
          <w:marBottom w:val="0"/>
          <w:divBdr>
            <w:top w:val="none" w:sz="0" w:space="0" w:color="auto"/>
            <w:left w:val="none" w:sz="0" w:space="0" w:color="auto"/>
            <w:bottom w:val="none" w:sz="0" w:space="0" w:color="auto"/>
            <w:right w:val="none" w:sz="0" w:space="0" w:color="auto"/>
          </w:divBdr>
        </w:div>
        <w:div w:id="1549147784">
          <w:marLeft w:val="0"/>
          <w:marRight w:val="0"/>
          <w:marTop w:val="0"/>
          <w:marBottom w:val="0"/>
          <w:divBdr>
            <w:top w:val="none" w:sz="0" w:space="0" w:color="auto"/>
            <w:left w:val="none" w:sz="0" w:space="0" w:color="auto"/>
            <w:bottom w:val="none" w:sz="0" w:space="0" w:color="auto"/>
            <w:right w:val="none" w:sz="0" w:space="0" w:color="auto"/>
          </w:divBdr>
        </w:div>
        <w:div w:id="1521434442">
          <w:marLeft w:val="0"/>
          <w:marRight w:val="0"/>
          <w:marTop w:val="0"/>
          <w:marBottom w:val="0"/>
          <w:divBdr>
            <w:top w:val="none" w:sz="0" w:space="0" w:color="auto"/>
            <w:left w:val="none" w:sz="0" w:space="0" w:color="auto"/>
            <w:bottom w:val="none" w:sz="0" w:space="0" w:color="auto"/>
            <w:right w:val="none" w:sz="0" w:space="0" w:color="auto"/>
          </w:divBdr>
        </w:div>
        <w:div w:id="138309615">
          <w:marLeft w:val="0"/>
          <w:marRight w:val="0"/>
          <w:marTop w:val="0"/>
          <w:marBottom w:val="0"/>
          <w:divBdr>
            <w:top w:val="none" w:sz="0" w:space="0" w:color="auto"/>
            <w:left w:val="none" w:sz="0" w:space="0" w:color="auto"/>
            <w:bottom w:val="none" w:sz="0" w:space="0" w:color="auto"/>
            <w:right w:val="none" w:sz="0" w:space="0" w:color="auto"/>
          </w:divBdr>
        </w:div>
        <w:div w:id="1344934482">
          <w:marLeft w:val="0"/>
          <w:marRight w:val="0"/>
          <w:marTop w:val="0"/>
          <w:marBottom w:val="0"/>
          <w:divBdr>
            <w:top w:val="none" w:sz="0" w:space="0" w:color="auto"/>
            <w:left w:val="none" w:sz="0" w:space="0" w:color="auto"/>
            <w:bottom w:val="none" w:sz="0" w:space="0" w:color="auto"/>
            <w:right w:val="none" w:sz="0" w:space="0" w:color="auto"/>
          </w:divBdr>
        </w:div>
        <w:div w:id="1520000405">
          <w:marLeft w:val="0"/>
          <w:marRight w:val="0"/>
          <w:marTop w:val="0"/>
          <w:marBottom w:val="0"/>
          <w:divBdr>
            <w:top w:val="none" w:sz="0" w:space="0" w:color="auto"/>
            <w:left w:val="none" w:sz="0" w:space="0" w:color="auto"/>
            <w:bottom w:val="none" w:sz="0" w:space="0" w:color="auto"/>
            <w:right w:val="none" w:sz="0" w:space="0" w:color="auto"/>
          </w:divBdr>
        </w:div>
        <w:div w:id="1118332171">
          <w:marLeft w:val="0"/>
          <w:marRight w:val="0"/>
          <w:marTop w:val="0"/>
          <w:marBottom w:val="0"/>
          <w:divBdr>
            <w:top w:val="none" w:sz="0" w:space="0" w:color="auto"/>
            <w:left w:val="none" w:sz="0" w:space="0" w:color="auto"/>
            <w:bottom w:val="none" w:sz="0" w:space="0" w:color="auto"/>
            <w:right w:val="none" w:sz="0" w:space="0" w:color="auto"/>
          </w:divBdr>
        </w:div>
        <w:div w:id="1781756862">
          <w:marLeft w:val="0"/>
          <w:marRight w:val="0"/>
          <w:marTop w:val="0"/>
          <w:marBottom w:val="0"/>
          <w:divBdr>
            <w:top w:val="none" w:sz="0" w:space="0" w:color="auto"/>
            <w:left w:val="none" w:sz="0" w:space="0" w:color="auto"/>
            <w:bottom w:val="none" w:sz="0" w:space="0" w:color="auto"/>
            <w:right w:val="none" w:sz="0" w:space="0" w:color="auto"/>
          </w:divBdr>
        </w:div>
        <w:div w:id="1853255731">
          <w:marLeft w:val="0"/>
          <w:marRight w:val="0"/>
          <w:marTop w:val="0"/>
          <w:marBottom w:val="0"/>
          <w:divBdr>
            <w:top w:val="none" w:sz="0" w:space="0" w:color="auto"/>
            <w:left w:val="none" w:sz="0" w:space="0" w:color="auto"/>
            <w:bottom w:val="none" w:sz="0" w:space="0" w:color="auto"/>
            <w:right w:val="none" w:sz="0" w:space="0" w:color="auto"/>
          </w:divBdr>
        </w:div>
      </w:divsChild>
    </w:div>
    <w:div w:id="404228398">
      <w:bodyDiv w:val="1"/>
      <w:marLeft w:val="0"/>
      <w:marRight w:val="0"/>
      <w:marTop w:val="0"/>
      <w:marBottom w:val="0"/>
      <w:divBdr>
        <w:top w:val="none" w:sz="0" w:space="0" w:color="auto"/>
        <w:left w:val="none" w:sz="0" w:space="0" w:color="auto"/>
        <w:bottom w:val="none" w:sz="0" w:space="0" w:color="auto"/>
        <w:right w:val="none" w:sz="0" w:space="0" w:color="auto"/>
      </w:divBdr>
    </w:div>
    <w:div w:id="442195547">
      <w:bodyDiv w:val="1"/>
      <w:marLeft w:val="0"/>
      <w:marRight w:val="0"/>
      <w:marTop w:val="0"/>
      <w:marBottom w:val="0"/>
      <w:divBdr>
        <w:top w:val="none" w:sz="0" w:space="0" w:color="auto"/>
        <w:left w:val="none" w:sz="0" w:space="0" w:color="auto"/>
        <w:bottom w:val="none" w:sz="0" w:space="0" w:color="auto"/>
        <w:right w:val="none" w:sz="0" w:space="0" w:color="auto"/>
      </w:divBdr>
    </w:div>
    <w:div w:id="46289208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6090220">
      <w:bodyDiv w:val="1"/>
      <w:marLeft w:val="0"/>
      <w:marRight w:val="0"/>
      <w:marTop w:val="0"/>
      <w:marBottom w:val="0"/>
      <w:divBdr>
        <w:top w:val="none" w:sz="0" w:space="0" w:color="auto"/>
        <w:left w:val="none" w:sz="0" w:space="0" w:color="auto"/>
        <w:bottom w:val="none" w:sz="0" w:space="0" w:color="auto"/>
        <w:right w:val="none" w:sz="0" w:space="0" w:color="auto"/>
      </w:divBdr>
    </w:div>
    <w:div w:id="702169021">
      <w:bodyDiv w:val="1"/>
      <w:marLeft w:val="0"/>
      <w:marRight w:val="0"/>
      <w:marTop w:val="0"/>
      <w:marBottom w:val="0"/>
      <w:divBdr>
        <w:top w:val="none" w:sz="0" w:space="0" w:color="auto"/>
        <w:left w:val="none" w:sz="0" w:space="0" w:color="auto"/>
        <w:bottom w:val="none" w:sz="0" w:space="0" w:color="auto"/>
        <w:right w:val="none" w:sz="0" w:space="0" w:color="auto"/>
      </w:divBdr>
    </w:div>
    <w:div w:id="75917593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627288">
      <w:bodyDiv w:val="1"/>
      <w:marLeft w:val="0"/>
      <w:marRight w:val="0"/>
      <w:marTop w:val="0"/>
      <w:marBottom w:val="0"/>
      <w:divBdr>
        <w:top w:val="none" w:sz="0" w:space="0" w:color="auto"/>
        <w:left w:val="none" w:sz="0" w:space="0" w:color="auto"/>
        <w:bottom w:val="none" w:sz="0" w:space="0" w:color="auto"/>
        <w:right w:val="none" w:sz="0" w:space="0" w:color="auto"/>
      </w:divBdr>
    </w:div>
    <w:div w:id="794178270">
      <w:bodyDiv w:val="1"/>
      <w:marLeft w:val="0"/>
      <w:marRight w:val="0"/>
      <w:marTop w:val="0"/>
      <w:marBottom w:val="0"/>
      <w:divBdr>
        <w:top w:val="none" w:sz="0" w:space="0" w:color="auto"/>
        <w:left w:val="none" w:sz="0" w:space="0" w:color="auto"/>
        <w:bottom w:val="none" w:sz="0" w:space="0" w:color="auto"/>
        <w:right w:val="none" w:sz="0" w:space="0" w:color="auto"/>
      </w:divBdr>
      <w:divsChild>
        <w:div w:id="346060830">
          <w:marLeft w:val="0"/>
          <w:marRight w:val="0"/>
          <w:marTop w:val="0"/>
          <w:marBottom w:val="0"/>
          <w:divBdr>
            <w:top w:val="none" w:sz="0" w:space="0" w:color="auto"/>
            <w:left w:val="none" w:sz="0" w:space="0" w:color="auto"/>
            <w:bottom w:val="none" w:sz="0" w:space="0" w:color="auto"/>
            <w:right w:val="none" w:sz="0" w:space="0" w:color="auto"/>
          </w:divBdr>
        </w:div>
      </w:divsChild>
    </w:div>
    <w:div w:id="85939347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900201">
      <w:bodyDiv w:val="1"/>
      <w:marLeft w:val="0"/>
      <w:marRight w:val="0"/>
      <w:marTop w:val="0"/>
      <w:marBottom w:val="0"/>
      <w:divBdr>
        <w:top w:val="none" w:sz="0" w:space="0" w:color="auto"/>
        <w:left w:val="none" w:sz="0" w:space="0" w:color="auto"/>
        <w:bottom w:val="none" w:sz="0" w:space="0" w:color="auto"/>
        <w:right w:val="none" w:sz="0" w:space="0" w:color="auto"/>
      </w:divBdr>
    </w:div>
    <w:div w:id="1332563135">
      <w:bodyDiv w:val="1"/>
      <w:marLeft w:val="0"/>
      <w:marRight w:val="0"/>
      <w:marTop w:val="0"/>
      <w:marBottom w:val="0"/>
      <w:divBdr>
        <w:top w:val="none" w:sz="0" w:space="0" w:color="auto"/>
        <w:left w:val="none" w:sz="0" w:space="0" w:color="auto"/>
        <w:bottom w:val="none" w:sz="0" w:space="0" w:color="auto"/>
        <w:right w:val="none" w:sz="0" w:space="0" w:color="auto"/>
      </w:divBdr>
    </w:div>
    <w:div w:id="1443762300">
      <w:bodyDiv w:val="1"/>
      <w:marLeft w:val="0"/>
      <w:marRight w:val="0"/>
      <w:marTop w:val="0"/>
      <w:marBottom w:val="0"/>
      <w:divBdr>
        <w:top w:val="none" w:sz="0" w:space="0" w:color="auto"/>
        <w:left w:val="none" w:sz="0" w:space="0" w:color="auto"/>
        <w:bottom w:val="none" w:sz="0" w:space="0" w:color="auto"/>
        <w:right w:val="none" w:sz="0" w:space="0" w:color="auto"/>
      </w:divBdr>
    </w:div>
    <w:div w:id="1448548678">
      <w:bodyDiv w:val="1"/>
      <w:marLeft w:val="0"/>
      <w:marRight w:val="0"/>
      <w:marTop w:val="0"/>
      <w:marBottom w:val="0"/>
      <w:divBdr>
        <w:top w:val="none" w:sz="0" w:space="0" w:color="auto"/>
        <w:left w:val="none" w:sz="0" w:space="0" w:color="auto"/>
        <w:bottom w:val="none" w:sz="0" w:space="0" w:color="auto"/>
        <w:right w:val="none" w:sz="0" w:space="0" w:color="auto"/>
      </w:divBdr>
    </w:div>
    <w:div w:id="1508250281">
      <w:bodyDiv w:val="1"/>
      <w:marLeft w:val="0"/>
      <w:marRight w:val="0"/>
      <w:marTop w:val="0"/>
      <w:marBottom w:val="0"/>
      <w:divBdr>
        <w:top w:val="none" w:sz="0" w:space="0" w:color="auto"/>
        <w:left w:val="none" w:sz="0" w:space="0" w:color="auto"/>
        <w:bottom w:val="none" w:sz="0" w:space="0" w:color="auto"/>
        <w:right w:val="none" w:sz="0" w:space="0" w:color="auto"/>
      </w:divBdr>
    </w:div>
    <w:div w:id="1608384878">
      <w:bodyDiv w:val="1"/>
      <w:marLeft w:val="0"/>
      <w:marRight w:val="0"/>
      <w:marTop w:val="0"/>
      <w:marBottom w:val="0"/>
      <w:divBdr>
        <w:top w:val="none" w:sz="0" w:space="0" w:color="auto"/>
        <w:left w:val="none" w:sz="0" w:space="0" w:color="auto"/>
        <w:bottom w:val="none" w:sz="0" w:space="0" w:color="auto"/>
        <w:right w:val="none" w:sz="0" w:space="0" w:color="auto"/>
      </w:divBdr>
    </w:div>
    <w:div w:id="1609433956">
      <w:bodyDiv w:val="1"/>
      <w:marLeft w:val="0"/>
      <w:marRight w:val="0"/>
      <w:marTop w:val="0"/>
      <w:marBottom w:val="0"/>
      <w:divBdr>
        <w:top w:val="none" w:sz="0" w:space="0" w:color="auto"/>
        <w:left w:val="none" w:sz="0" w:space="0" w:color="auto"/>
        <w:bottom w:val="none" w:sz="0" w:space="0" w:color="auto"/>
        <w:right w:val="none" w:sz="0" w:space="0" w:color="auto"/>
      </w:divBdr>
    </w:div>
    <w:div w:id="1667318907">
      <w:bodyDiv w:val="1"/>
      <w:marLeft w:val="0"/>
      <w:marRight w:val="0"/>
      <w:marTop w:val="0"/>
      <w:marBottom w:val="0"/>
      <w:divBdr>
        <w:top w:val="none" w:sz="0" w:space="0" w:color="auto"/>
        <w:left w:val="none" w:sz="0" w:space="0" w:color="auto"/>
        <w:bottom w:val="none" w:sz="0" w:space="0" w:color="auto"/>
        <w:right w:val="none" w:sz="0" w:space="0" w:color="auto"/>
      </w:divBdr>
    </w:div>
    <w:div w:id="1675717425">
      <w:bodyDiv w:val="1"/>
      <w:marLeft w:val="0"/>
      <w:marRight w:val="0"/>
      <w:marTop w:val="0"/>
      <w:marBottom w:val="0"/>
      <w:divBdr>
        <w:top w:val="none" w:sz="0" w:space="0" w:color="auto"/>
        <w:left w:val="none" w:sz="0" w:space="0" w:color="auto"/>
        <w:bottom w:val="none" w:sz="0" w:space="0" w:color="auto"/>
        <w:right w:val="none" w:sz="0" w:space="0" w:color="auto"/>
      </w:divBdr>
      <w:divsChild>
        <w:div w:id="1481800028">
          <w:marLeft w:val="0"/>
          <w:marRight w:val="0"/>
          <w:marTop w:val="0"/>
          <w:marBottom w:val="0"/>
          <w:divBdr>
            <w:top w:val="none" w:sz="0" w:space="0" w:color="auto"/>
            <w:left w:val="none" w:sz="0" w:space="0" w:color="auto"/>
            <w:bottom w:val="none" w:sz="0" w:space="0" w:color="auto"/>
            <w:right w:val="none" w:sz="0" w:space="0" w:color="auto"/>
          </w:divBdr>
        </w:div>
        <w:div w:id="1779369894">
          <w:marLeft w:val="0"/>
          <w:marRight w:val="0"/>
          <w:marTop w:val="0"/>
          <w:marBottom w:val="0"/>
          <w:divBdr>
            <w:top w:val="none" w:sz="0" w:space="0" w:color="auto"/>
            <w:left w:val="none" w:sz="0" w:space="0" w:color="auto"/>
            <w:bottom w:val="none" w:sz="0" w:space="0" w:color="auto"/>
            <w:right w:val="none" w:sz="0" w:space="0" w:color="auto"/>
          </w:divBdr>
        </w:div>
        <w:div w:id="1913275706">
          <w:marLeft w:val="0"/>
          <w:marRight w:val="0"/>
          <w:marTop w:val="0"/>
          <w:marBottom w:val="0"/>
          <w:divBdr>
            <w:top w:val="none" w:sz="0" w:space="0" w:color="auto"/>
            <w:left w:val="none" w:sz="0" w:space="0" w:color="auto"/>
            <w:bottom w:val="none" w:sz="0" w:space="0" w:color="auto"/>
            <w:right w:val="none" w:sz="0" w:space="0" w:color="auto"/>
          </w:divBdr>
        </w:div>
        <w:div w:id="1392188682">
          <w:marLeft w:val="0"/>
          <w:marRight w:val="0"/>
          <w:marTop w:val="0"/>
          <w:marBottom w:val="0"/>
          <w:divBdr>
            <w:top w:val="none" w:sz="0" w:space="0" w:color="auto"/>
            <w:left w:val="none" w:sz="0" w:space="0" w:color="auto"/>
            <w:bottom w:val="none" w:sz="0" w:space="0" w:color="auto"/>
            <w:right w:val="none" w:sz="0" w:space="0" w:color="auto"/>
          </w:divBdr>
        </w:div>
        <w:div w:id="496188922">
          <w:marLeft w:val="0"/>
          <w:marRight w:val="0"/>
          <w:marTop w:val="0"/>
          <w:marBottom w:val="0"/>
          <w:divBdr>
            <w:top w:val="none" w:sz="0" w:space="0" w:color="auto"/>
            <w:left w:val="none" w:sz="0" w:space="0" w:color="auto"/>
            <w:bottom w:val="none" w:sz="0" w:space="0" w:color="auto"/>
            <w:right w:val="none" w:sz="0" w:space="0" w:color="auto"/>
          </w:divBdr>
        </w:div>
        <w:div w:id="817915105">
          <w:marLeft w:val="0"/>
          <w:marRight w:val="0"/>
          <w:marTop w:val="0"/>
          <w:marBottom w:val="0"/>
          <w:divBdr>
            <w:top w:val="none" w:sz="0" w:space="0" w:color="auto"/>
            <w:left w:val="none" w:sz="0" w:space="0" w:color="auto"/>
            <w:bottom w:val="none" w:sz="0" w:space="0" w:color="auto"/>
            <w:right w:val="none" w:sz="0" w:space="0" w:color="auto"/>
          </w:divBdr>
        </w:div>
        <w:div w:id="659386518">
          <w:marLeft w:val="0"/>
          <w:marRight w:val="0"/>
          <w:marTop w:val="0"/>
          <w:marBottom w:val="0"/>
          <w:divBdr>
            <w:top w:val="none" w:sz="0" w:space="0" w:color="auto"/>
            <w:left w:val="none" w:sz="0" w:space="0" w:color="auto"/>
            <w:bottom w:val="none" w:sz="0" w:space="0" w:color="auto"/>
            <w:right w:val="none" w:sz="0" w:space="0" w:color="auto"/>
          </w:divBdr>
        </w:div>
        <w:div w:id="1194002510">
          <w:marLeft w:val="0"/>
          <w:marRight w:val="0"/>
          <w:marTop w:val="0"/>
          <w:marBottom w:val="0"/>
          <w:divBdr>
            <w:top w:val="none" w:sz="0" w:space="0" w:color="auto"/>
            <w:left w:val="none" w:sz="0" w:space="0" w:color="auto"/>
            <w:bottom w:val="none" w:sz="0" w:space="0" w:color="auto"/>
            <w:right w:val="none" w:sz="0" w:space="0" w:color="auto"/>
          </w:divBdr>
        </w:div>
        <w:div w:id="322243831">
          <w:marLeft w:val="0"/>
          <w:marRight w:val="0"/>
          <w:marTop w:val="0"/>
          <w:marBottom w:val="0"/>
          <w:divBdr>
            <w:top w:val="none" w:sz="0" w:space="0" w:color="auto"/>
            <w:left w:val="none" w:sz="0" w:space="0" w:color="auto"/>
            <w:bottom w:val="none" w:sz="0" w:space="0" w:color="auto"/>
            <w:right w:val="none" w:sz="0" w:space="0" w:color="auto"/>
          </w:divBdr>
        </w:div>
        <w:div w:id="2113161896">
          <w:marLeft w:val="0"/>
          <w:marRight w:val="0"/>
          <w:marTop w:val="0"/>
          <w:marBottom w:val="0"/>
          <w:divBdr>
            <w:top w:val="none" w:sz="0" w:space="0" w:color="auto"/>
            <w:left w:val="none" w:sz="0" w:space="0" w:color="auto"/>
            <w:bottom w:val="none" w:sz="0" w:space="0" w:color="auto"/>
            <w:right w:val="none" w:sz="0" w:space="0" w:color="auto"/>
          </w:divBdr>
        </w:div>
        <w:div w:id="900141418">
          <w:marLeft w:val="0"/>
          <w:marRight w:val="0"/>
          <w:marTop w:val="0"/>
          <w:marBottom w:val="0"/>
          <w:divBdr>
            <w:top w:val="none" w:sz="0" w:space="0" w:color="auto"/>
            <w:left w:val="none" w:sz="0" w:space="0" w:color="auto"/>
            <w:bottom w:val="none" w:sz="0" w:space="0" w:color="auto"/>
            <w:right w:val="none" w:sz="0" w:space="0" w:color="auto"/>
          </w:divBdr>
        </w:div>
        <w:div w:id="304630627">
          <w:marLeft w:val="0"/>
          <w:marRight w:val="0"/>
          <w:marTop w:val="0"/>
          <w:marBottom w:val="0"/>
          <w:divBdr>
            <w:top w:val="none" w:sz="0" w:space="0" w:color="auto"/>
            <w:left w:val="none" w:sz="0" w:space="0" w:color="auto"/>
            <w:bottom w:val="none" w:sz="0" w:space="0" w:color="auto"/>
            <w:right w:val="none" w:sz="0" w:space="0" w:color="auto"/>
          </w:divBdr>
        </w:div>
        <w:div w:id="879365525">
          <w:marLeft w:val="0"/>
          <w:marRight w:val="0"/>
          <w:marTop w:val="0"/>
          <w:marBottom w:val="0"/>
          <w:divBdr>
            <w:top w:val="none" w:sz="0" w:space="0" w:color="auto"/>
            <w:left w:val="none" w:sz="0" w:space="0" w:color="auto"/>
            <w:bottom w:val="none" w:sz="0" w:space="0" w:color="auto"/>
            <w:right w:val="none" w:sz="0" w:space="0" w:color="auto"/>
          </w:divBdr>
        </w:div>
        <w:div w:id="617108665">
          <w:marLeft w:val="0"/>
          <w:marRight w:val="0"/>
          <w:marTop w:val="0"/>
          <w:marBottom w:val="0"/>
          <w:divBdr>
            <w:top w:val="none" w:sz="0" w:space="0" w:color="auto"/>
            <w:left w:val="none" w:sz="0" w:space="0" w:color="auto"/>
            <w:bottom w:val="none" w:sz="0" w:space="0" w:color="auto"/>
            <w:right w:val="none" w:sz="0" w:space="0" w:color="auto"/>
          </w:divBdr>
        </w:div>
        <w:div w:id="1289893605">
          <w:marLeft w:val="0"/>
          <w:marRight w:val="0"/>
          <w:marTop w:val="0"/>
          <w:marBottom w:val="0"/>
          <w:divBdr>
            <w:top w:val="none" w:sz="0" w:space="0" w:color="auto"/>
            <w:left w:val="none" w:sz="0" w:space="0" w:color="auto"/>
            <w:bottom w:val="none" w:sz="0" w:space="0" w:color="auto"/>
            <w:right w:val="none" w:sz="0" w:space="0" w:color="auto"/>
          </w:divBdr>
        </w:div>
        <w:div w:id="1960913078">
          <w:marLeft w:val="0"/>
          <w:marRight w:val="0"/>
          <w:marTop w:val="0"/>
          <w:marBottom w:val="0"/>
          <w:divBdr>
            <w:top w:val="none" w:sz="0" w:space="0" w:color="auto"/>
            <w:left w:val="none" w:sz="0" w:space="0" w:color="auto"/>
            <w:bottom w:val="none" w:sz="0" w:space="0" w:color="auto"/>
            <w:right w:val="none" w:sz="0" w:space="0" w:color="auto"/>
          </w:divBdr>
        </w:div>
        <w:div w:id="1658340734">
          <w:marLeft w:val="0"/>
          <w:marRight w:val="0"/>
          <w:marTop w:val="0"/>
          <w:marBottom w:val="0"/>
          <w:divBdr>
            <w:top w:val="none" w:sz="0" w:space="0" w:color="auto"/>
            <w:left w:val="none" w:sz="0" w:space="0" w:color="auto"/>
            <w:bottom w:val="none" w:sz="0" w:space="0" w:color="auto"/>
            <w:right w:val="none" w:sz="0" w:space="0" w:color="auto"/>
          </w:divBdr>
        </w:div>
        <w:div w:id="393431715">
          <w:marLeft w:val="0"/>
          <w:marRight w:val="0"/>
          <w:marTop w:val="0"/>
          <w:marBottom w:val="0"/>
          <w:divBdr>
            <w:top w:val="none" w:sz="0" w:space="0" w:color="auto"/>
            <w:left w:val="none" w:sz="0" w:space="0" w:color="auto"/>
            <w:bottom w:val="none" w:sz="0" w:space="0" w:color="auto"/>
            <w:right w:val="none" w:sz="0" w:space="0" w:color="auto"/>
          </w:divBdr>
        </w:div>
        <w:div w:id="1714764758">
          <w:marLeft w:val="0"/>
          <w:marRight w:val="0"/>
          <w:marTop w:val="0"/>
          <w:marBottom w:val="0"/>
          <w:divBdr>
            <w:top w:val="none" w:sz="0" w:space="0" w:color="auto"/>
            <w:left w:val="none" w:sz="0" w:space="0" w:color="auto"/>
            <w:bottom w:val="none" w:sz="0" w:space="0" w:color="auto"/>
            <w:right w:val="none" w:sz="0" w:space="0" w:color="auto"/>
          </w:divBdr>
        </w:div>
        <w:div w:id="732311714">
          <w:marLeft w:val="0"/>
          <w:marRight w:val="0"/>
          <w:marTop w:val="0"/>
          <w:marBottom w:val="0"/>
          <w:divBdr>
            <w:top w:val="none" w:sz="0" w:space="0" w:color="auto"/>
            <w:left w:val="none" w:sz="0" w:space="0" w:color="auto"/>
            <w:bottom w:val="none" w:sz="0" w:space="0" w:color="auto"/>
            <w:right w:val="none" w:sz="0" w:space="0" w:color="auto"/>
          </w:divBdr>
        </w:div>
        <w:div w:id="1081609510">
          <w:marLeft w:val="0"/>
          <w:marRight w:val="0"/>
          <w:marTop w:val="0"/>
          <w:marBottom w:val="0"/>
          <w:divBdr>
            <w:top w:val="none" w:sz="0" w:space="0" w:color="auto"/>
            <w:left w:val="none" w:sz="0" w:space="0" w:color="auto"/>
            <w:bottom w:val="none" w:sz="0" w:space="0" w:color="auto"/>
            <w:right w:val="none" w:sz="0" w:space="0" w:color="auto"/>
          </w:divBdr>
        </w:div>
        <w:div w:id="2102676677">
          <w:marLeft w:val="0"/>
          <w:marRight w:val="0"/>
          <w:marTop w:val="0"/>
          <w:marBottom w:val="0"/>
          <w:divBdr>
            <w:top w:val="none" w:sz="0" w:space="0" w:color="auto"/>
            <w:left w:val="none" w:sz="0" w:space="0" w:color="auto"/>
            <w:bottom w:val="none" w:sz="0" w:space="0" w:color="auto"/>
            <w:right w:val="none" w:sz="0" w:space="0" w:color="auto"/>
          </w:divBdr>
        </w:div>
        <w:div w:id="1307782395">
          <w:marLeft w:val="0"/>
          <w:marRight w:val="0"/>
          <w:marTop w:val="0"/>
          <w:marBottom w:val="0"/>
          <w:divBdr>
            <w:top w:val="none" w:sz="0" w:space="0" w:color="auto"/>
            <w:left w:val="none" w:sz="0" w:space="0" w:color="auto"/>
            <w:bottom w:val="none" w:sz="0" w:space="0" w:color="auto"/>
            <w:right w:val="none" w:sz="0" w:space="0" w:color="auto"/>
          </w:divBdr>
        </w:div>
        <w:div w:id="1051809174">
          <w:marLeft w:val="0"/>
          <w:marRight w:val="0"/>
          <w:marTop w:val="0"/>
          <w:marBottom w:val="0"/>
          <w:divBdr>
            <w:top w:val="none" w:sz="0" w:space="0" w:color="auto"/>
            <w:left w:val="none" w:sz="0" w:space="0" w:color="auto"/>
            <w:bottom w:val="none" w:sz="0" w:space="0" w:color="auto"/>
            <w:right w:val="none" w:sz="0" w:space="0" w:color="auto"/>
          </w:divBdr>
        </w:div>
        <w:div w:id="1855728099">
          <w:marLeft w:val="0"/>
          <w:marRight w:val="0"/>
          <w:marTop w:val="0"/>
          <w:marBottom w:val="0"/>
          <w:divBdr>
            <w:top w:val="none" w:sz="0" w:space="0" w:color="auto"/>
            <w:left w:val="none" w:sz="0" w:space="0" w:color="auto"/>
            <w:bottom w:val="none" w:sz="0" w:space="0" w:color="auto"/>
            <w:right w:val="none" w:sz="0" w:space="0" w:color="auto"/>
          </w:divBdr>
        </w:div>
        <w:div w:id="128860747">
          <w:marLeft w:val="0"/>
          <w:marRight w:val="0"/>
          <w:marTop w:val="0"/>
          <w:marBottom w:val="0"/>
          <w:divBdr>
            <w:top w:val="none" w:sz="0" w:space="0" w:color="auto"/>
            <w:left w:val="none" w:sz="0" w:space="0" w:color="auto"/>
            <w:bottom w:val="none" w:sz="0" w:space="0" w:color="auto"/>
            <w:right w:val="none" w:sz="0" w:space="0" w:color="auto"/>
          </w:divBdr>
        </w:div>
        <w:div w:id="1477380908">
          <w:marLeft w:val="0"/>
          <w:marRight w:val="0"/>
          <w:marTop w:val="0"/>
          <w:marBottom w:val="0"/>
          <w:divBdr>
            <w:top w:val="none" w:sz="0" w:space="0" w:color="auto"/>
            <w:left w:val="none" w:sz="0" w:space="0" w:color="auto"/>
            <w:bottom w:val="none" w:sz="0" w:space="0" w:color="auto"/>
            <w:right w:val="none" w:sz="0" w:space="0" w:color="auto"/>
          </w:divBdr>
        </w:div>
        <w:div w:id="820124417">
          <w:marLeft w:val="0"/>
          <w:marRight w:val="0"/>
          <w:marTop w:val="0"/>
          <w:marBottom w:val="0"/>
          <w:divBdr>
            <w:top w:val="none" w:sz="0" w:space="0" w:color="auto"/>
            <w:left w:val="none" w:sz="0" w:space="0" w:color="auto"/>
            <w:bottom w:val="none" w:sz="0" w:space="0" w:color="auto"/>
            <w:right w:val="none" w:sz="0" w:space="0" w:color="auto"/>
          </w:divBdr>
        </w:div>
        <w:div w:id="300231975">
          <w:marLeft w:val="0"/>
          <w:marRight w:val="0"/>
          <w:marTop w:val="0"/>
          <w:marBottom w:val="0"/>
          <w:divBdr>
            <w:top w:val="none" w:sz="0" w:space="0" w:color="auto"/>
            <w:left w:val="none" w:sz="0" w:space="0" w:color="auto"/>
            <w:bottom w:val="none" w:sz="0" w:space="0" w:color="auto"/>
            <w:right w:val="none" w:sz="0" w:space="0" w:color="auto"/>
          </w:divBdr>
        </w:div>
        <w:div w:id="1159543462">
          <w:marLeft w:val="0"/>
          <w:marRight w:val="0"/>
          <w:marTop w:val="0"/>
          <w:marBottom w:val="0"/>
          <w:divBdr>
            <w:top w:val="none" w:sz="0" w:space="0" w:color="auto"/>
            <w:left w:val="none" w:sz="0" w:space="0" w:color="auto"/>
            <w:bottom w:val="none" w:sz="0" w:space="0" w:color="auto"/>
            <w:right w:val="none" w:sz="0" w:space="0" w:color="auto"/>
          </w:divBdr>
        </w:div>
        <w:div w:id="73480583">
          <w:marLeft w:val="0"/>
          <w:marRight w:val="0"/>
          <w:marTop w:val="0"/>
          <w:marBottom w:val="0"/>
          <w:divBdr>
            <w:top w:val="none" w:sz="0" w:space="0" w:color="auto"/>
            <w:left w:val="none" w:sz="0" w:space="0" w:color="auto"/>
            <w:bottom w:val="none" w:sz="0" w:space="0" w:color="auto"/>
            <w:right w:val="none" w:sz="0" w:space="0" w:color="auto"/>
          </w:divBdr>
        </w:div>
        <w:div w:id="317812314">
          <w:marLeft w:val="0"/>
          <w:marRight w:val="0"/>
          <w:marTop w:val="0"/>
          <w:marBottom w:val="0"/>
          <w:divBdr>
            <w:top w:val="none" w:sz="0" w:space="0" w:color="auto"/>
            <w:left w:val="none" w:sz="0" w:space="0" w:color="auto"/>
            <w:bottom w:val="none" w:sz="0" w:space="0" w:color="auto"/>
            <w:right w:val="none" w:sz="0" w:space="0" w:color="auto"/>
          </w:divBdr>
        </w:div>
        <w:div w:id="629552307">
          <w:marLeft w:val="0"/>
          <w:marRight w:val="0"/>
          <w:marTop w:val="0"/>
          <w:marBottom w:val="0"/>
          <w:divBdr>
            <w:top w:val="none" w:sz="0" w:space="0" w:color="auto"/>
            <w:left w:val="none" w:sz="0" w:space="0" w:color="auto"/>
            <w:bottom w:val="none" w:sz="0" w:space="0" w:color="auto"/>
            <w:right w:val="none" w:sz="0" w:space="0" w:color="auto"/>
          </w:divBdr>
        </w:div>
        <w:div w:id="1268392551">
          <w:marLeft w:val="0"/>
          <w:marRight w:val="0"/>
          <w:marTop w:val="0"/>
          <w:marBottom w:val="0"/>
          <w:divBdr>
            <w:top w:val="none" w:sz="0" w:space="0" w:color="auto"/>
            <w:left w:val="none" w:sz="0" w:space="0" w:color="auto"/>
            <w:bottom w:val="none" w:sz="0" w:space="0" w:color="auto"/>
            <w:right w:val="none" w:sz="0" w:space="0" w:color="auto"/>
          </w:divBdr>
        </w:div>
        <w:div w:id="1254556111">
          <w:marLeft w:val="0"/>
          <w:marRight w:val="0"/>
          <w:marTop w:val="0"/>
          <w:marBottom w:val="0"/>
          <w:divBdr>
            <w:top w:val="none" w:sz="0" w:space="0" w:color="auto"/>
            <w:left w:val="none" w:sz="0" w:space="0" w:color="auto"/>
            <w:bottom w:val="none" w:sz="0" w:space="0" w:color="auto"/>
            <w:right w:val="none" w:sz="0" w:space="0" w:color="auto"/>
          </w:divBdr>
        </w:div>
      </w:divsChild>
    </w:div>
    <w:div w:id="1714310564">
      <w:bodyDiv w:val="1"/>
      <w:marLeft w:val="0"/>
      <w:marRight w:val="0"/>
      <w:marTop w:val="0"/>
      <w:marBottom w:val="0"/>
      <w:divBdr>
        <w:top w:val="none" w:sz="0" w:space="0" w:color="auto"/>
        <w:left w:val="none" w:sz="0" w:space="0" w:color="auto"/>
        <w:bottom w:val="none" w:sz="0" w:space="0" w:color="auto"/>
        <w:right w:val="none" w:sz="0" w:space="0" w:color="auto"/>
      </w:divBdr>
    </w:div>
    <w:div w:id="1726488016">
      <w:bodyDiv w:val="1"/>
      <w:marLeft w:val="0"/>
      <w:marRight w:val="0"/>
      <w:marTop w:val="0"/>
      <w:marBottom w:val="0"/>
      <w:divBdr>
        <w:top w:val="none" w:sz="0" w:space="0" w:color="auto"/>
        <w:left w:val="none" w:sz="0" w:space="0" w:color="auto"/>
        <w:bottom w:val="none" w:sz="0" w:space="0" w:color="auto"/>
        <w:right w:val="none" w:sz="0" w:space="0" w:color="auto"/>
      </w:divBdr>
    </w:div>
    <w:div w:id="1761373078">
      <w:bodyDiv w:val="1"/>
      <w:marLeft w:val="0"/>
      <w:marRight w:val="0"/>
      <w:marTop w:val="0"/>
      <w:marBottom w:val="0"/>
      <w:divBdr>
        <w:top w:val="none" w:sz="0" w:space="0" w:color="auto"/>
        <w:left w:val="none" w:sz="0" w:space="0" w:color="auto"/>
        <w:bottom w:val="none" w:sz="0" w:space="0" w:color="auto"/>
        <w:right w:val="none" w:sz="0" w:space="0" w:color="auto"/>
      </w:divBdr>
    </w:div>
    <w:div w:id="180145822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2812582">
      <w:bodyDiv w:val="1"/>
      <w:marLeft w:val="0"/>
      <w:marRight w:val="0"/>
      <w:marTop w:val="0"/>
      <w:marBottom w:val="0"/>
      <w:divBdr>
        <w:top w:val="none" w:sz="0" w:space="0" w:color="auto"/>
        <w:left w:val="none" w:sz="0" w:space="0" w:color="auto"/>
        <w:bottom w:val="none" w:sz="0" w:space="0" w:color="auto"/>
        <w:right w:val="none" w:sz="0" w:space="0" w:color="auto"/>
      </w:divBdr>
    </w:div>
    <w:div w:id="1867786180">
      <w:bodyDiv w:val="1"/>
      <w:marLeft w:val="0"/>
      <w:marRight w:val="0"/>
      <w:marTop w:val="0"/>
      <w:marBottom w:val="0"/>
      <w:divBdr>
        <w:top w:val="none" w:sz="0" w:space="0" w:color="auto"/>
        <w:left w:val="none" w:sz="0" w:space="0" w:color="auto"/>
        <w:bottom w:val="none" w:sz="0" w:space="0" w:color="auto"/>
        <w:right w:val="none" w:sz="0" w:space="0" w:color="auto"/>
      </w:divBdr>
      <w:divsChild>
        <w:div w:id="441337272">
          <w:marLeft w:val="0"/>
          <w:marRight w:val="0"/>
          <w:marTop w:val="0"/>
          <w:marBottom w:val="0"/>
          <w:divBdr>
            <w:top w:val="none" w:sz="0" w:space="0" w:color="auto"/>
            <w:left w:val="none" w:sz="0" w:space="0" w:color="auto"/>
            <w:bottom w:val="none" w:sz="0" w:space="0" w:color="auto"/>
            <w:right w:val="none" w:sz="0" w:space="0" w:color="auto"/>
          </w:divBdr>
        </w:div>
      </w:divsChild>
    </w:div>
    <w:div w:id="1883205515">
      <w:bodyDiv w:val="1"/>
      <w:marLeft w:val="0"/>
      <w:marRight w:val="0"/>
      <w:marTop w:val="0"/>
      <w:marBottom w:val="0"/>
      <w:divBdr>
        <w:top w:val="none" w:sz="0" w:space="0" w:color="auto"/>
        <w:left w:val="none" w:sz="0" w:space="0" w:color="auto"/>
        <w:bottom w:val="none" w:sz="0" w:space="0" w:color="auto"/>
        <w:right w:val="none" w:sz="0" w:space="0" w:color="auto"/>
      </w:divBdr>
    </w:div>
    <w:div w:id="1890536537">
      <w:bodyDiv w:val="1"/>
      <w:marLeft w:val="0"/>
      <w:marRight w:val="0"/>
      <w:marTop w:val="0"/>
      <w:marBottom w:val="0"/>
      <w:divBdr>
        <w:top w:val="none" w:sz="0" w:space="0" w:color="auto"/>
        <w:left w:val="none" w:sz="0" w:space="0" w:color="auto"/>
        <w:bottom w:val="none" w:sz="0" w:space="0" w:color="auto"/>
        <w:right w:val="none" w:sz="0" w:space="0" w:color="auto"/>
      </w:divBdr>
    </w:div>
    <w:div w:id="1897357425">
      <w:bodyDiv w:val="1"/>
      <w:marLeft w:val="0"/>
      <w:marRight w:val="0"/>
      <w:marTop w:val="0"/>
      <w:marBottom w:val="0"/>
      <w:divBdr>
        <w:top w:val="none" w:sz="0" w:space="0" w:color="auto"/>
        <w:left w:val="none" w:sz="0" w:space="0" w:color="auto"/>
        <w:bottom w:val="none" w:sz="0" w:space="0" w:color="auto"/>
        <w:right w:val="none" w:sz="0" w:space="0" w:color="auto"/>
      </w:divBdr>
      <w:divsChild>
        <w:div w:id="227152251">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737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dir/2014/24/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93EC0723-7367-4EC2-98EC-895B4DBA3876}"/>
</file>

<file path=docProps/app.xml><?xml version="1.0" encoding="utf-8"?>
<Properties xmlns="http://schemas.openxmlformats.org/officeDocument/2006/extended-properties" xmlns:vt="http://schemas.openxmlformats.org/officeDocument/2006/docPropsVTypes">
  <Template>Normal</Template>
  <TotalTime>1349</TotalTime>
  <Pages>119</Pages>
  <Words>25295</Words>
  <Characters>150253</Characters>
  <Application>Microsoft Office Word</Application>
  <DocSecurity>0</DocSecurity>
  <Lines>8838</Lines>
  <Paragraphs>4876</Paragraphs>
  <ScaleCrop>false</ScaleCrop>
  <Company/>
  <LinksUpToDate>false</LinksUpToDate>
  <CharactersWithSpaces>170672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384</cp:revision>
  <cp:lastPrinted>2025-03-21T00:14:00Z</cp:lastPrinted>
  <dcterms:created xsi:type="dcterms:W3CDTF">2025-07-15T08:53:00Z</dcterms:created>
  <dcterms:modified xsi:type="dcterms:W3CDTF">2025-07-28T21:02:00Z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